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13C40" w14:textId="572B0992" w:rsidR="00A50EE8" w:rsidRPr="00A53F47" w:rsidRDefault="00A50EE8" w:rsidP="001F722C">
      <w:pPr>
        <w:pStyle w:val="Titolo1"/>
        <w:spacing w:before="120" w:after="120"/>
        <w:jc w:val="both"/>
        <w:rPr>
          <w:rFonts w:eastAsia="Calibri" w:cstheme="minorHAnsi"/>
        </w:rPr>
      </w:pPr>
      <w:bookmarkStart w:id="0" w:name="_Toc107937582"/>
      <w:r w:rsidRPr="00A53F47">
        <w:rPr>
          <w:rFonts w:eastAsia="Calibri" w:cstheme="minorHAnsi"/>
        </w:rPr>
        <w:t xml:space="preserve">Allegato </w:t>
      </w:r>
      <w:r w:rsidR="0065737A">
        <w:rPr>
          <w:rFonts w:eastAsia="Calibri" w:cstheme="minorHAnsi"/>
        </w:rPr>
        <w:t>2.1</w:t>
      </w:r>
      <w:r w:rsidRPr="00A53F47">
        <w:rPr>
          <w:rFonts w:eastAsia="Calibri" w:cstheme="minorHAnsi"/>
        </w:rPr>
        <w:t>:</w:t>
      </w:r>
      <w:r w:rsidRPr="00A53F47">
        <w:rPr>
          <w:rFonts w:cstheme="minorHAnsi"/>
          <w:sz w:val="20"/>
        </w:rPr>
        <w:t xml:space="preserve"> </w:t>
      </w:r>
      <w:r w:rsidRPr="00A53F47">
        <w:rPr>
          <w:rFonts w:eastAsia="Calibri" w:cstheme="minorHAnsi"/>
        </w:rPr>
        <w:t xml:space="preserve">Format </w:t>
      </w:r>
      <w:r w:rsidRPr="00A53F47">
        <w:rPr>
          <w:rFonts w:cstheme="minorHAnsi"/>
          <w:szCs w:val="24"/>
        </w:rPr>
        <w:t xml:space="preserve">di </w:t>
      </w:r>
      <w:r w:rsidRPr="00A53F47">
        <w:rPr>
          <w:rFonts w:eastAsia="Calibri" w:cstheme="minorHAnsi"/>
        </w:rPr>
        <w:t>“Determina di nomina della Commissione giudicatrice”</w:t>
      </w:r>
      <w:bookmarkEnd w:id="0"/>
    </w:p>
    <w:p w14:paraId="7AB14CE5" w14:textId="77777777" w:rsidR="00A50EE8" w:rsidRPr="00A53F47" w:rsidRDefault="00A50EE8" w:rsidP="001F722C">
      <w:pPr>
        <w:rPr>
          <w:rFonts w:eastAsia="Calibri" w:cstheme="minorHAnsi"/>
          <w:color w:val="2E74B5" w:themeColor="accent5" w:themeShade="BF"/>
          <w:sz w:val="28"/>
          <w:u w:val="single"/>
        </w:rPr>
      </w:pPr>
    </w:p>
    <w:p w14:paraId="7EDFF1E3" w14:textId="77777777" w:rsidR="00A50EE8" w:rsidRPr="00A53F47" w:rsidRDefault="00A50EE8" w:rsidP="001F722C">
      <w:pPr>
        <w:jc w:val="right"/>
        <w:rPr>
          <w:rFonts w:cstheme="minorHAnsi"/>
        </w:rPr>
      </w:pPr>
      <w:r w:rsidRPr="00A53F47">
        <w:rPr>
          <w:rFonts w:cstheme="minorHAnsi"/>
        </w:rPr>
        <w:t>Prot. n. […]</w:t>
      </w:r>
    </w:p>
    <w:p w14:paraId="704F85AD" w14:textId="77777777" w:rsidR="00A50EE8" w:rsidRPr="00A53F47" w:rsidRDefault="00A50EE8" w:rsidP="001F722C">
      <w:pPr>
        <w:rPr>
          <w:rFonts w:cstheme="minorHAnsi"/>
        </w:rPr>
      </w:pPr>
    </w:p>
    <w:tbl>
      <w:tblPr>
        <w:tblW w:w="5000" w:type="pc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638"/>
      </w:tblGrid>
      <w:tr w:rsidR="00A50EE8" w:rsidRPr="00A53F47" w14:paraId="41DBA6BA" w14:textId="77777777" w:rsidTr="005E1698">
        <w:tc>
          <w:tcPr>
            <w:tcW w:w="5000" w:type="pct"/>
          </w:tcPr>
          <w:p w14:paraId="35C83390" w14:textId="77777777" w:rsidR="00A50EE8" w:rsidRPr="00CE07E9" w:rsidRDefault="00A50EE8" w:rsidP="001F722C">
            <w:pPr>
              <w:pStyle w:val="WW-Testonormale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C6EDC93" w14:textId="77777777" w:rsidR="00A50EE8" w:rsidRPr="00CE07E9" w:rsidRDefault="00A50EE8" w:rsidP="00CE07E9">
            <w:pPr>
              <w:pStyle w:val="Titolo1"/>
              <w:framePr w:hSpace="180" w:wrap="around" w:vAnchor="page" w:hAnchor="margin" w:y="974"/>
              <w:spacing w:before="120" w:after="120"/>
              <w:jc w:val="center"/>
              <w:rPr>
                <w:rFonts w:eastAsia="Calibri" w:cstheme="minorHAnsi"/>
                <w:sz w:val="22"/>
                <w:szCs w:val="22"/>
              </w:rPr>
            </w:pPr>
            <w:r w:rsidRPr="00CE07E9">
              <w:rPr>
                <w:rFonts w:cstheme="minorHAnsi"/>
                <w:sz w:val="22"/>
                <w:szCs w:val="22"/>
              </w:rPr>
              <w:t>[</w:t>
            </w:r>
            <w:r w:rsidRPr="00CE07E9">
              <w:rPr>
                <w:rFonts w:eastAsia="Calibri" w:cstheme="minorHAnsi"/>
                <w:sz w:val="22"/>
                <w:szCs w:val="22"/>
              </w:rPr>
              <w:t>DENOMINAZIONE ISTITUTO SCOLASTICO]</w:t>
            </w:r>
          </w:p>
          <w:p w14:paraId="2410D543" w14:textId="77777777" w:rsidR="00A50EE8" w:rsidRPr="00CE07E9" w:rsidRDefault="00A50EE8" w:rsidP="00CE07E9">
            <w:pPr>
              <w:pStyle w:val="Titolo1"/>
              <w:framePr w:hSpace="180" w:wrap="around" w:vAnchor="page" w:hAnchor="margin" w:y="974"/>
              <w:spacing w:before="120" w:after="120"/>
              <w:jc w:val="center"/>
              <w:rPr>
                <w:rFonts w:eastAsia="Calibri" w:cstheme="minorHAnsi"/>
                <w:sz w:val="22"/>
                <w:szCs w:val="22"/>
              </w:rPr>
            </w:pPr>
            <w:r w:rsidRPr="00CE07E9">
              <w:rPr>
                <w:rFonts w:eastAsia="Calibri" w:cstheme="minorHAnsi"/>
                <w:sz w:val="22"/>
                <w:szCs w:val="22"/>
              </w:rPr>
              <w:t>Via […] Città […] CAP […]</w:t>
            </w:r>
          </w:p>
          <w:p w14:paraId="34D2275C" w14:textId="77777777" w:rsidR="00A50EE8" w:rsidRPr="00CE07E9" w:rsidRDefault="00A50EE8" w:rsidP="00CE07E9">
            <w:pPr>
              <w:pStyle w:val="Titolo1"/>
              <w:framePr w:hSpace="180" w:wrap="around" w:vAnchor="page" w:hAnchor="margin" w:y="974"/>
              <w:spacing w:before="120" w:after="120"/>
              <w:jc w:val="center"/>
              <w:rPr>
                <w:rFonts w:eastAsia="Calibri" w:cstheme="minorHAnsi"/>
                <w:sz w:val="22"/>
                <w:szCs w:val="22"/>
              </w:rPr>
            </w:pPr>
            <w:r w:rsidRPr="00CE07E9">
              <w:rPr>
                <w:rFonts w:eastAsia="Calibri" w:cstheme="minorHAnsi"/>
                <w:sz w:val="22"/>
                <w:szCs w:val="22"/>
              </w:rPr>
              <w:t>Tel [</w:t>
            </w:r>
            <w:proofErr w:type="gramStart"/>
            <w:r w:rsidRPr="00CE07E9">
              <w:rPr>
                <w:rFonts w:eastAsia="Calibri" w:cstheme="minorHAnsi"/>
                <w:sz w:val="22"/>
                <w:szCs w:val="22"/>
              </w:rPr>
              <w:t>…]/</w:t>
            </w:r>
            <w:proofErr w:type="gramEnd"/>
            <w:r w:rsidRPr="00CE07E9">
              <w:rPr>
                <w:rFonts w:eastAsia="Calibri" w:cstheme="minorHAnsi"/>
                <w:sz w:val="22"/>
                <w:szCs w:val="22"/>
              </w:rPr>
              <w:t>Fax […]</w:t>
            </w:r>
          </w:p>
          <w:p w14:paraId="7D3CBADA" w14:textId="77777777" w:rsidR="00A50EE8" w:rsidRPr="00CE07E9" w:rsidRDefault="00A50EE8" w:rsidP="00CE07E9">
            <w:pPr>
              <w:pStyle w:val="Titolo1"/>
              <w:framePr w:hSpace="180" w:wrap="around" w:vAnchor="page" w:hAnchor="margin" w:y="974"/>
              <w:spacing w:before="120" w:after="120"/>
              <w:jc w:val="center"/>
              <w:rPr>
                <w:rFonts w:eastAsia="Calibri" w:cstheme="minorHAnsi"/>
                <w:sz w:val="22"/>
                <w:szCs w:val="22"/>
              </w:rPr>
            </w:pPr>
            <w:r w:rsidRPr="00CE07E9">
              <w:rPr>
                <w:rFonts w:eastAsia="Calibri" w:cstheme="minorHAnsi"/>
                <w:sz w:val="22"/>
                <w:szCs w:val="22"/>
              </w:rPr>
              <w:t>Mail [</w:t>
            </w:r>
            <w:proofErr w:type="gramStart"/>
            <w:r w:rsidRPr="00CE07E9">
              <w:rPr>
                <w:rFonts w:eastAsia="Calibri" w:cstheme="minorHAnsi"/>
                <w:sz w:val="22"/>
                <w:szCs w:val="22"/>
              </w:rPr>
              <w:t>…]/</w:t>
            </w:r>
            <w:proofErr w:type="spellStart"/>
            <w:proofErr w:type="gramEnd"/>
            <w:r w:rsidRPr="00CE07E9">
              <w:rPr>
                <w:rFonts w:eastAsia="Calibri" w:cstheme="minorHAnsi"/>
                <w:sz w:val="22"/>
                <w:szCs w:val="22"/>
              </w:rPr>
              <w:t>Pec</w:t>
            </w:r>
            <w:proofErr w:type="spellEnd"/>
            <w:r w:rsidRPr="00CE07E9">
              <w:rPr>
                <w:rFonts w:eastAsia="Calibri" w:cstheme="minorHAnsi"/>
                <w:sz w:val="22"/>
                <w:szCs w:val="22"/>
              </w:rPr>
              <w:t xml:space="preserve"> […]</w:t>
            </w:r>
          </w:p>
          <w:p w14:paraId="1DD93382" w14:textId="77777777" w:rsidR="00A50EE8" w:rsidRPr="00A53F47" w:rsidRDefault="00A50EE8" w:rsidP="001F722C">
            <w:pPr>
              <w:pStyle w:val="Titolo"/>
              <w:framePr w:wrap="around"/>
              <w:spacing w:before="120" w:after="120"/>
              <w:contextualSpacing w:val="0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3099D4E0" w14:textId="77777777" w:rsidR="00A50EE8" w:rsidRPr="00A53F47" w:rsidRDefault="00A50EE8" w:rsidP="001F722C">
            <w:pPr>
              <w:pStyle w:val="Titolo"/>
              <w:framePr w:wrap="around"/>
              <w:spacing w:before="120" w:after="120"/>
              <w:ind w:right="1499"/>
              <w:contextualSpacing w:val="0"/>
              <w:jc w:val="center"/>
              <w:rPr>
                <w:rFonts w:asciiTheme="minorHAnsi" w:hAnsiTheme="minorHAnsi" w:cstheme="minorHAnsi"/>
                <w:sz w:val="22"/>
              </w:rPr>
            </w:pPr>
          </w:p>
          <w:tbl>
            <w:tblPr>
              <w:tblpPr w:leftFromText="180" w:rightFromText="180" w:vertAnchor="text" w:horzAnchor="margin" w:tblpXSpec="center" w:tblpY="117"/>
              <w:tblOverlap w:val="never"/>
              <w:tblW w:w="8349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349"/>
            </w:tblGrid>
            <w:tr w:rsidR="00A50EE8" w:rsidRPr="00A53F47" w14:paraId="26B726F3" w14:textId="77777777" w:rsidTr="00CE07E9">
              <w:trPr>
                <w:trHeight w:val="2238"/>
              </w:trPr>
              <w:tc>
                <w:tcPr>
                  <w:tcW w:w="8349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18885644" w14:textId="77777777" w:rsidR="00A50EE8" w:rsidRPr="00DF0166" w:rsidRDefault="00A50EE8" w:rsidP="001F722C">
                  <w:pPr>
                    <w:suppressAutoHyphens/>
                    <w:jc w:val="center"/>
                    <w:rPr>
                      <w:rFonts w:cstheme="minorHAnsi"/>
                      <w:b/>
                      <w:lang w:bidi="it-IT"/>
                    </w:rPr>
                  </w:pPr>
                </w:p>
                <w:p w14:paraId="41622DB8" w14:textId="200750A8" w:rsidR="00A50EE8" w:rsidRPr="00A53F47" w:rsidRDefault="00A50EE8" w:rsidP="00CE07E9">
                  <w:pPr>
                    <w:suppressAutoHyphens/>
                    <w:jc w:val="center"/>
                    <w:rPr>
                      <w:rFonts w:cstheme="minorHAnsi"/>
                      <w:b/>
                      <w:u w:val="single"/>
                      <w:lang w:eastAsia="it-IT"/>
                    </w:rPr>
                  </w:pPr>
                  <w:r w:rsidRPr="00A53F47">
                    <w:rPr>
                      <w:rFonts w:cstheme="minorHAnsi"/>
                      <w:b/>
                      <w:u w:val="single"/>
                      <w:lang w:eastAsia="it-IT"/>
                    </w:rPr>
                    <w:t>DETERMINA DI NOMINA DELLA COMMISSIONE GIUDICATRICE</w:t>
                  </w:r>
                  <w:r w:rsidR="00E175F3">
                    <w:rPr>
                      <w:rStyle w:val="Rimandonotaapidipagina"/>
                      <w:rFonts w:eastAsia="Calibri" w:cstheme="minorHAnsi"/>
                      <w:b/>
                      <w:bCs/>
                    </w:rPr>
                    <w:footnoteReference w:id="1"/>
                  </w:r>
                </w:p>
                <w:p w14:paraId="179E15CD" w14:textId="6187B40C" w:rsidR="00A50EE8" w:rsidRPr="001D2138" w:rsidRDefault="00A50EE8" w:rsidP="00CE07E9">
                  <w:pPr>
                    <w:suppressAutoHyphens/>
                    <w:jc w:val="center"/>
                    <w:rPr>
                      <w:rFonts w:cstheme="minorHAnsi"/>
                      <w:b/>
                      <w:i/>
                      <w:lang w:eastAsia="it-IT"/>
                    </w:rPr>
                  </w:pPr>
                  <w:r w:rsidRPr="00A53F47">
                    <w:rPr>
                      <w:rFonts w:cstheme="minorHAnsi"/>
                      <w:b/>
                      <w:i/>
                      <w:lang w:eastAsia="it-IT"/>
                    </w:rPr>
                    <w:t>nell’ambito della procedura di gara [</w:t>
                  </w:r>
                  <w:r w:rsidRPr="00293851">
                    <w:rPr>
                      <w:rFonts w:cstheme="minorHAnsi"/>
                      <w:b/>
                      <w:i/>
                      <w:lang w:eastAsia="it-IT"/>
                    </w:rPr>
                    <w:t>indicare l’oggetto della gara</w:t>
                  </w:r>
                  <w:r w:rsidRPr="00A53F47">
                    <w:rPr>
                      <w:rFonts w:cstheme="minorHAnsi"/>
                      <w:b/>
                      <w:i/>
                      <w:lang w:eastAsia="it-IT"/>
                    </w:rPr>
                    <w:t>], da aggiudicare tramite il criterio dell’offerta economicamente più vantaggiosa</w:t>
                  </w:r>
                  <w:r w:rsidRPr="00A53F47">
                    <w:rPr>
                      <w:rFonts w:cstheme="minorHAnsi"/>
                      <w:b/>
                      <w:i/>
                    </w:rPr>
                    <w:t xml:space="preserve"> sulla base del miglior rapporto qualità/prezzo, ai sensi dell’art. </w:t>
                  </w:r>
                  <w:r w:rsidR="005529A6">
                    <w:rPr>
                      <w:rFonts w:cstheme="minorHAnsi"/>
                      <w:b/>
                      <w:i/>
                    </w:rPr>
                    <w:t>1</w:t>
                  </w:r>
                  <w:r w:rsidR="008A7929">
                    <w:rPr>
                      <w:rFonts w:cstheme="minorHAnsi"/>
                      <w:b/>
                      <w:i/>
                    </w:rPr>
                    <w:t>0</w:t>
                  </w:r>
                  <w:r w:rsidR="005529A6">
                    <w:rPr>
                      <w:rFonts w:cstheme="minorHAnsi"/>
                      <w:b/>
                      <w:i/>
                    </w:rPr>
                    <w:t>8</w:t>
                  </w:r>
                  <w:r w:rsidRPr="00A53F47">
                    <w:rPr>
                      <w:rFonts w:cstheme="minorHAnsi"/>
                      <w:b/>
                      <w:i/>
                    </w:rPr>
                    <w:t xml:space="preserve">, comma </w:t>
                  </w:r>
                  <w:r w:rsidR="005529A6">
                    <w:rPr>
                      <w:rFonts w:cstheme="minorHAnsi"/>
                      <w:b/>
                      <w:i/>
                    </w:rPr>
                    <w:t>2</w:t>
                  </w:r>
                  <w:r w:rsidRPr="00A53F47">
                    <w:rPr>
                      <w:rFonts w:cstheme="minorHAnsi"/>
                      <w:b/>
                      <w:i/>
                    </w:rPr>
                    <w:t>,</w:t>
                  </w:r>
                  <w:r w:rsidR="005529A6">
                    <w:rPr>
                      <w:rFonts w:cstheme="minorHAnsi"/>
                      <w:b/>
                      <w:i/>
                    </w:rPr>
                    <w:t xml:space="preserve"> del</w:t>
                  </w:r>
                  <w:r w:rsidRPr="00A53F47">
                    <w:rPr>
                      <w:rFonts w:cstheme="minorHAnsi"/>
                      <w:b/>
                      <w:i/>
                    </w:rPr>
                    <w:t xml:space="preserve"> </w:t>
                  </w:r>
                  <w:proofErr w:type="spellStart"/>
                  <w:r w:rsidRPr="00A53F47">
                    <w:rPr>
                      <w:rFonts w:cstheme="minorHAnsi"/>
                      <w:b/>
                      <w:i/>
                    </w:rPr>
                    <w:t>D.Lgs.</w:t>
                  </w:r>
                  <w:proofErr w:type="spellEnd"/>
                  <w:r w:rsidRPr="00A53F47">
                    <w:rPr>
                      <w:rFonts w:cstheme="minorHAnsi"/>
                      <w:b/>
                      <w:i/>
                    </w:rPr>
                    <w:t xml:space="preserve"> </w:t>
                  </w:r>
                  <w:r w:rsidR="00A7622B">
                    <w:rPr>
                      <w:rFonts w:cstheme="minorHAnsi"/>
                      <w:b/>
                      <w:i/>
                    </w:rPr>
                    <w:t>3</w:t>
                  </w:r>
                  <w:r w:rsidRPr="00A53F47">
                    <w:rPr>
                      <w:rFonts w:cstheme="minorHAnsi"/>
                      <w:b/>
                      <w:i/>
                    </w:rPr>
                    <w:t>1</w:t>
                  </w:r>
                  <w:r w:rsidR="00A7622B">
                    <w:rPr>
                      <w:rFonts w:cstheme="minorHAnsi"/>
                      <w:b/>
                      <w:i/>
                    </w:rPr>
                    <w:t xml:space="preserve"> marzo 2023, n. 36</w:t>
                  </w:r>
                </w:p>
              </w:tc>
            </w:tr>
          </w:tbl>
          <w:p w14:paraId="5B5E0B12" w14:textId="77777777" w:rsidR="00A50EE8" w:rsidRPr="00A53F47" w:rsidRDefault="00A50EE8" w:rsidP="001F722C">
            <w:pPr>
              <w:pStyle w:val="Titolo"/>
              <w:framePr w:wrap="around"/>
              <w:spacing w:before="120" w:after="120"/>
              <w:ind w:right="1059"/>
              <w:contextualSpacing w:val="0"/>
              <w:jc w:val="center"/>
              <w:rPr>
                <w:rFonts w:asciiTheme="minorHAnsi" w:hAnsiTheme="minorHAnsi" w:cstheme="minorHAnsi"/>
                <w:sz w:val="20"/>
                <w:lang w:val="it-IT"/>
              </w:rPr>
            </w:pPr>
          </w:p>
        </w:tc>
      </w:tr>
    </w:tbl>
    <w:p w14:paraId="22980AB5" w14:textId="77777777" w:rsidR="00A50EE8" w:rsidRPr="00A53F47" w:rsidRDefault="00A50EE8" w:rsidP="001F722C">
      <w:pPr>
        <w:rPr>
          <w:rFonts w:cstheme="minorHAnsi"/>
        </w:rPr>
      </w:pPr>
    </w:p>
    <w:p w14:paraId="3DDF9320" w14:textId="77777777" w:rsidR="00A50EE8" w:rsidRPr="00A53F47" w:rsidRDefault="00A50EE8" w:rsidP="001F722C">
      <w:pPr>
        <w:rPr>
          <w:rFonts w:cstheme="minorHAnsi"/>
        </w:rPr>
      </w:pPr>
    </w:p>
    <w:p w14:paraId="451C1681" w14:textId="77777777" w:rsidR="00A50EE8" w:rsidRPr="00A53F47" w:rsidRDefault="00A50EE8" w:rsidP="001F722C">
      <w:pPr>
        <w:rPr>
          <w:rFonts w:cstheme="minorHAnsi"/>
        </w:rPr>
      </w:pPr>
    </w:p>
    <w:p w14:paraId="61983192" w14:textId="77777777" w:rsidR="00A50EE8" w:rsidRPr="00A53F47" w:rsidRDefault="00A50EE8" w:rsidP="001F722C">
      <w:pPr>
        <w:rPr>
          <w:rFonts w:cstheme="minorHAnsi"/>
        </w:rPr>
      </w:pPr>
    </w:p>
    <w:p w14:paraId="26B29EA8" w14:textId="77777777" w:rsidR="00A50EE8" w:rsidRPr="00A53F47" w:rsidRDefault="00A50EE8" w:rsidP="001F722C">
      <w:pPr>
        <w:rPr>
          <w:rFonts w:cstheme="minorHAnsi"/>
        </w:rPr>
      </w:pPr>
    </w:p>
    <w:p w14:paraId="2D7D6D19" w14:textId="77777777" w:rsidR="00A50EE8" w:rsidRPr="00A53F47" w:rsidRDefault="00A50EE8" w:rsidP="001F722C">
      <w:pPr>
        <w:rPr>
          <w:rFonts w:cstheme="minorHAnsi"/>
        </w:rPr>
      </w:pPr>
    </w:p>
    <w:p w14:paraId="3FCF184C" w14:textId="77777777" w:rsidR="00A50EE8" w:rsidRPr="00A53F47" w:rsidRDefault="00A50EE8" w:rsidP="001F722C">
      <w:pPr>
        <w:rPr>
          <w:rFonts w:cstheme="minorHAnsi"/>
        </w:rPr>
      </w:pPr>
    </w:p>
    <w:p w14:paraId="06E3E8A4" w14:textId="77777777" w:rsidR="00A50EE8" w:rsidRPr="00A53F47" w:rsidRDefault="00A50EE8" w:rsidP="001F722C">
      <w:pPr>
        <w:rPr>
          <w:rFonts w:cstheme="minorHAnsi"/>
        </w:rPr>
      </w:pPr>
    </w:p>
    <w:p w14:paraId="70608490" w14:textId="77777777" w:rsidR="00A50EE8" w:rsidRPr="00A53F47" w:rsidRDefault="00A50EE8" w:rsidP="001F722C">
      <w:pPr>
        <w:rPr>
          <w:rFonts w:cstheme="minorHAnsi"/>
        </w:rPr>
      </w:pPr>
    </w:p>
    <w:p w14:paraId="41CA6FDD" w14:textId="4F2D1324" w:rsidR="00A50EE8" w:rsidRDefault="00A50EE8" w:rsidP="001F722C">
      <w:pPr>
        <w:rPr>
          <w:rFonts w:cstheme="minorHAnsi"/>
        </w:rPr>
      </w:pPr>
    </w:p>
    <w:p w14:paraId="0F441F2D" w14:textId="436CC5AF" w:rsidR="00CE07E9" w:rsidRDefault="00CE07E9" w:rsidP="001F722C">
      <w:pPr>
        <w:rPr>
          <w:rFonts w:cstheme="minorHAnsi"/>
        </w:rPr>
      </w:pPr>
    </w:p>
    <w:p w14:paraId="3EE8973A" w14:textId="7BFE5EF0" w:rsidR="00CE07E9" w:rsidRDefault="00CE07E9" w:rsidP="001F722C">
      <w:pPr>
        <w:rPr>
          <w:rFonts w:cstheme="minorHAnsi"/>
        </w:rPr>
      </w:pPr>
    </w:p>
    <w:p w14:paraId="688D1957" w14:textId="08121E10" w:rsidR="00CE07E9" w:rsidRDefault="00CE07E9" w:rsidP="001F722C">
      <w:pPr>
        <w:rPr>
          <w:rFonts w:cstheme="minorHAnsi"/>
        </w:rPr>
      </w:pPr>
    </w:p>
    <w:p w14:paraId="3A17FE2A" w14:textId="457E6D7F" w:rsidR="00CE07E9" w:rsidRDefault="00CE07E9" w:rsidP="001F722C">
      <w:pPr>
        <w:rPr>
          <w:rFonts w:cstheme="minorHAnsi"/>
        </w:rPr>
      </w:pPr>
    </w:p>
    <w:p w14:paraId="1E3B6B9E" w14:textId="77777777" w:rsidR="00CE07E9" w:rsidRPr="00A53F47" w:rsidRDefault="00CE07E9" w:rsidP="001F722C">
      <w:pPr>
        <w:rPr>
          <w:rFonts w:cstheme="minorHAnsi"/>
        </w:rPr>
      </w:pPr>
    </w:p>
    <w:p w14:paraId="24B260D8" w14:textId="77777777" w:rsidR="00A50EE8" w:rsidRPr="00A53F47" w:rsidRDefault="00A50EE8" w:rsidP="001F722C">
      <w:pPr>
        <w:jc w:val="center"/>
        <w:rPr>
          <w:rFonts w:cstheme="minorHAnsi"/>
          <w:b/>
          <w:szCs w:val="20"/>
        </w:rPr>
      </w:pPr>
      <w:r w:rsidRPr="00A53F47">
        <w:rPr>
          <w:rFonts w:cstheme="minorHAnsi"/>
          <w:b/>
          <w:szCs w:val="20"/>
        </w:rPr>
        <w:lastRenderedPageBreak/>
        <w:t>IL DIRIGENTE SCOLASTICO</w:t>
      </w:r>
    </w:p>
    <w:p w14:paraId="6C80121E" w14:textId="5D8D52BB" w:rsidR="00745181" w:rsidRPr="00745181" w:rsidRDefault="00A50EE8" w:rsidP="00CE07E9">
      <w:pPr>
        <w:jc w:val="both"/>
        <w:rPr>
          <w:rFonts w:cstheme="minorHAnsi"/>
          <w:szCs w:val="20"/>
        </w:rPr>
      </w:pPr>
      <w:r w:rsidRPr="00A53F47">
        <w:rPr>
          <w:rFonts w:cstheme="minorHAnsi"/>
          <w:b/>
          <w:szCs w:val="20"/>
        </w:rPr>
        <w:t xml:space="preserve">VISTA </w:t>
      </w:r>
      <w:r w:rsidR="00745181" w:rsidRPr="00745181">
        <w:rPr>
          <w:rFonts w:eastAsia="Calibri" w:cstheme="minorHAnsi"/>
        </w:rPr>
        <w:t>la L</w:t>
      </w:r>
      <w:r w:rsidR="00CE07E9">
        <w:rPr>
          <w:rFonts w:eastAsia="Calibri" w:cstheme="minorHAnsi"/>
        </w:rPr>
        <w:t xml:space="preserve">egge </w:t>
      </w:r>
      <w:r w:rsidR="00745181" w:rsidRPr="00745181">
        <w:rPr>
          <w:rFonts w:eastAsia="Calibri" w:cstheme="minorHAnsi"/>
        </w:rPr>
        <w:t>7 agosto 1990, n. 241, recante «</w:t>
      </w:r>
      <w:r w:rsidR="00745181" w:rsidRPr="00745181">
        <w:rPr>
          <w:rFonts w:eastAsia="Calibri" w:cstheme="minorHAnsi"/>
          <w:i/>
        </w:rPr>
        <w:t>Nuove norme sul procedimento amministrativo</w:t>
      </w:r>
      <w:r w:rsidR="00745181" w:rsidRPr="00745181">
        <w:rPr>
          <w:rFonts w:eastAsia="Calibri" w:cstheme="minorHAnsi"/>
        </w:rPr>
        <w:t>»;</w:t>
      </w:r>
    </w:p>
    <w:p w14:paraId="5AC90B0F" w14:textId="7F084A82" w:rsidR="00A50EE8" w:rsidRPr="004A0E8B" w:rsidRDefault="00A50EE8" w:rsidP="00CE07E9">
      <w:pPr>
        <w:jc w:val="both"/>
        <w:rPr>
          <w:rFonts w:eastAsia="Calibri" w:cstheme="minorHAnsi"/>
          <w:b/>
          <w:color w:val="000000"/>
          <w:lang w:eastAsia="it-IT"/>
        </w:rPr>
      </w:pPr>
      <w:r w:rsidRPr="00A53F47">
        <w:rPr>
          <w:rFonts w:cstheme="minorHAnsi"/>
          <w:b/>
          <w:szCs w:val="20"/>
        </w:rPr>
        <w:t xml:space="preserve">VISTO </w:t>
      </w:r>
      <w:r w:rsidRPr="00A53F47">
        <w:rPr>
          <w:rFonts w:cstheme="minorHAnsi"/>
          <w:szCs w:val="20"/>
        </w:rPr>
        <w:t xml:space="preserve">il </w:t>
      </w:r>
      <w:r w:rsidR="005831DA" w:rsidRPr="00A53F47">
        <w:rPr>
          <w:rFonts w:eastAsia="Calibri" w:cstheme="minorHAnsi"/>
        </w:rPr>
        <w:t>D</w:t>
      </w:r>
      <w:r w:rsidR="00CE07E9">
        <w:rPr>
          <w:rFonts w:eastAsia="Calibri" w:cstheme="minorHAnsi"/>
        </w:rPr>
        <w:t>ecreto Legislativo</w:t>
      </w:r>
      <w:r w:rsidR="005831DA" w:rsidRPr="00A53F47">
        <w:rPr>
          <w:rFonts w:eastAsia="Calibri" w:cstheme="minorHAnsi"/>
        </w:rPr>
        <w:t xml:space="preserve"> 30 marzo 2001,</w:t>
      </w:r>
      <w:r w:rsidR="005831DA">
        <w:rPr>
          <w:rFonts w:eastAsia="Calibri" w:cstheme="minorHAnsi"/>
        </w:rPr>
        <w:t xml:space="preserve"> </w:t>
      </w:r>
      <w:r w:rsidR="005831DA" w:rsidRPr="00A53F47">
        <w:rPr>
          <w:rFonts w:eastAsia="Calibri" w:cstheme="minorHAnsi"/>
        </w:rPr>
        <w:t>n. 165</w:t>
      </w:r>
      <w:r w:rsidR="005831DA">
        <w:rPr>
          <w:rFonts w:eastAsia="Calibri" w:cstheme="minorHAnsi"/>
        </w:rPr>
        <w:t>,</w:t>
      </w:r>
      <w:r w:rsidR="005831DA" w:rsidRPr="00A53F47">
        <w:rPr>
          <w:rFonts w:eastAsia="Calibri" w:cstheme="minorHAnsi"/>
        </w:rPr>
        <w:t xml:space="preserve"> recante «</w:t>
      </w:r>
      <w:r w:rsidR="005831DA" w:rsidRPr="00A53F47">
        <w:rPr>
          <w:rFonts w:eastAsia="Calibri" w:cstheme="minorHAnsi"/>
          <w:i/>
        </w:rPr>
        <w:t>Norme generali sull'ordinamento del lavoro alle dipendenze delle amministrazioni pubbliche</w:t>
      </w:r>
      <w:r w:rsidR="005831DA" w:rsidRPr="00A53F47">
        <w:rPr>
          <w:rFonts w:eastAsia="Calibri" w:cstheme="minorHAnsi"/>
        </w:rPr>
        <w:t>» e successive modifiche e integrazioni;</w:t>
      </w:r>
    </w:p>
    <w:p w14:paraId="3632A7F2" w14:textId="5061B426" w:rsidR="004A0E8B" w:rsidRPr="00A53F47" w:rsidRDefault="004A0E8B" w:rsidP="00CE07E9">
      <w:pPr>
        <w:jc w:val="both"/>
        <w:rPr>
          <w:rFonts w:eastAsia="Calibri" w:cstheme="minorHAnsi"/>
          <w:b/>
          <w:color w:val="000000"/>
          <w:lang w:eastAsia="it-IT"/>
        </w:rPr>
      </w:pPr>
      <w:r w:rsidRPr="00A53F47">
        <w:rPr>
          <w:rFonts w:cstheme="minorHAnsi"/>
          <w:b/>
          <w:szCs w:val="20"/>
        </w:rPr>
        <w:t>VISTO</w:t>
      </w:r>
      <w:r w:rsidRPr="00A53F47">
        <w:rPr>
          <w:rFonts w:cstheme="minorHAnsi"/>
          <w:szCs w:val="20"/>
        </w:rPr>
        <w:t xml:space="preserve"> il </w:t>
      </w:r>
      <w:r w:rsidRPr="00A53F47">
        <w:rPr>
          <w:rFonts w:eastAsia="Calibri" w:cstheme="minorHAnsi"/>
        </w:rPr>
        <w:t>Decreto Interministeriale 28 agosto 2018, n. 129, recante «</w:t>
      </w:r>
      <w:r w:rsidRPr="00A53F47">
        <w:rPr>
          <w:rFonts w:eastAsia="Calibri" w:cstheme="minorHAnsi"/>
          <w:i/>
        </w:rPr>
        <w:t>Istruzioni generali sulla gestione amministrativo-contabile delle istituzioni scolastiche, ai sensi dell’articolo 1, comma 143, della legge 13 luglio 2015, n. 107</w:t>
      </w:r>
      <w:r w:rsidRPr="00A53F47">
        <w:rPr>
          <w:rFonts w:eastAsia="Calibri" w:cstheme="minorHAnsi"/>
        </w:rPr>
        <w:t>»</w:t>
      </w:r>
      <w:r w:rsidRPr="00A53F47">
        <w:rPr>
          <w:rFonts w:cstheme="minorHAnsi"/>
          <w:szCs w:val="20"/>
        </w:rPr>
        <w:t>;</w:t>
      </w:r>
    </w:p>
    <w:p w14:paraId="6DBA240D" w14:textId="745898C2" w:rsidR="00A50EE8" w:rsidRPr="00A53F47" w:rsidRDefault="00A50EE8" w:rsidP="00CE07E9">
      <w:pPr>
        <w:jc w:val="both"/>
        <w:rPr>
          <w:rFonts w:eastAsia="Calibri" w:cstheme="minorHAnsi"/>
          <w:b/>
          <w:color w:val="000000"/>
          <w:lang w:eastAsia="it-IT"/>
        </w:rPr>
      </w:pPr>
      <w:r w:rsidRPr="00A53F47">
        <w:rPr>
          <w:rFonts w:eastAsia="Calibri" w:cstheme="minorHAnsi"/>
          <w:b/>
          <w:color w:val="000000"/>
          <w:lang w:eastAsia="it-IT"/>
        </w:rPr>
        <w:t xml:space="preserve">VISTO </w:t>
      </w:r>
      <w:r w:rsidRPr="00A53F47">
        <w:rPr>
          <w:rFonts w:eastAsia="Calibri" w:cstheme="minorHAnsi"/>
        </w:rPr>
        <w:t xml:space="preserve">il </w:t>
      </w:r>
      <w:r w:rsidR="002711F4" w:rsidRPr="00A53F47">
        <w:rPr>
          <w:rFonts w:eastAsia="Times New Roman" w:cstheme="minorHAnsi"/>
          <w:lang w:eastAsia="it-IT"/>
        </w:rPr>
        <w:t>D</w:t>
      </w:r>
      <w:r w:rsidR="00CE07E9">
        <w:rPr>
          <w:rFonts w:eastAsia="Times New Roman" w:cstheme="minorHAnsi"/>
          <w:lang w:eastAsia="it-IT"/>
        </w:rPr>
        <w:t>ecreto Legislativo</w:t>
      </w:r>
      <w:r w:rsidR="002711F4" w:rsidRPr="00A53F47">
        <w:rPr>
          <w:rFonts w:eastAsia="Times New Roman" w:cstheme="minorHAnsi"/>
          <w:lang w:eastAsia="it-IT"/>
        </w:rPr>
        <w:t xml:space="preserve"> </w:t>
      </w:r>
      <w:r w:rsidR="002711F4">
        <w:rPr>
          <w:rFonts w:eastAsia="Times New Roman" w:cstheme="minorHAnsi"/>
          <w:lang w:eastAsia="it-IT"/>
        </w:rPr>
        <w:t>31 marzo 2023, n. 36</w:t>
      </w:r>
      <w:r w:rsidR="002711F4" w:rsidRPr="00A53F47">
        <w:rPr>
          <w:rFonts w:eastAsia="Times New Roman" w:cstheme="minorHAnsi"/>
          <w:lang w:eastAsia="it-IT"/>
        </w:rPr>
        <w:t>, recante «</w:t>
      </w:r>
      <w:r w:rsidR="002711F4" w:rsidRPr="00A53F47">
        <w:rPr>
          <w:rFonts w:eastAsia="Times New Roman" w:cstheme="minorHAnsi"/>
          <w:i/>
          <w:lang w:eastAsia="it-IT"/>
        </w:rPr>
        <w:t>Codice</w:t>
      </w:r>
      <w:r w:rsidR="002711F4">
        <w:rPr>
          <w:rFonts w:eastAsia="Times New Roman" w:cstheme="minorHAnsi"/>
          <w:i/>
          <w:lang w:eastAsia="it-IT"/>
        </w:rPr>
        <w:t xml:space="preserve"> </w:t>
      </w:r>
      <w:r w:rsidR="002711F4" w:rsidRPr="00E97A29">
        <w:rPr>
          <w:rFonts w:eastAsia="Times New Roman" w:cstheme="minorHAnsi"/>
          <w:i/>
          <w:lang w:eastAsia="it-IT"/>
        </w:rPr>
        <w:t>dei contratti pubblici in attuazione dell'articolo 1 della legge 21 giugno 2022, n. 78, recante delega al Governo in materia di contratti pubblici</w:t>
      </w:r>
      <w:r w:rsidR="002711F4" w:rsidRPr="00A53F47">
        <w:rPr>
          <w:rFonts w:eastAsia="Times New Roman" w:cstheme="minorHAnsi"/>
          <w:lang w:eastAsia="it-IT"/>
        </w:rPr>
        <w:t>»;</w:t>
      </w:r>
    </w:p>
    <w:p w14:paraId="1905EC41" w14:textId="7674CA7F" w:rsidR="00A50EE8" w:rsidRPr="00A53F47" w:rsidRDefault="00A50EE8" w:rsidP="00CE07E9">
      <w:pPr>
        <w:jc w:val="both"/>
        <w:rPr>
          <w:rFonts w:cstheme="minorHAnsi"/>
          <w:szCs w:val="20"/>
        </w:rPr>
      </w:pPr>
      <w:r w:rsidRPr="00A53F47">
        <w:rPr>
          <w:rFonts w:cstheme="minorHAnsi"/>
          <w:b/>
          <w:szCs w:val="20"/>
        </w:rPr>
        <w:t xml:space="preserve">PRESO ATTO </w:t>
      </w:r>
      <w:r w:rsidRPr="00A53F47">
        <w:rPr>
          <w:rFonts w:cstheme="minorHAnsi"/>
          <w:szCs w:val="20"/>
        </w:rPr>
        <w:t xml:space="preserve">che il criterio di aggiudicazione della </w:t>
      </w:r>
      <w:proofErr w:type="gramStart"/>
      <w:r w:rsidRPr="00A53F47">
        <w:rPr>
          <w:rFonts w:cstheme="minorHAnsi"/>
          <w:szCs w:val="20"/>
        </w:rPr>
        <w:t>predetta</w:t>
      </w:r>
      <w:proofErr w:type="gramEnd"/>
      <w:r w:rsidRPr="00A53F47">
        <w:rPr>
          <w:rFonts w:cstheme="minorHAnsi"/>
          <w:szCs w:val="20"/>
        </w:rPr>
        <w:t xml:space="preserve"> gara è quello dell’offerta economicamente più vantaggiosa determinata sulla base del miglior rapporto qualità/prezzo, ai sensi </w:t>
      </w:r>
      <w:r w:rsidR="002711F4" w:rsidRPr="002711F4">
        <w:rPr>
          <w:rFonts w:cstheme="minorHAnsi"/>
          <w:szCs w:val="20"/>
        </w:rPr>
        <w:t>dell’art. 108, comma 2, del D</w:t>
      </w:r>
      <w:r w:rsidR="00CE07E9">
        <w:rPr>
          <w:rFonts w:cstheme="minorHAnsi"/>
          <w:szCs w:val="20"/>
        </w:rPr>
        <w:t>ecreto Legislativo</w:t>
      </w:r>
      <w:r w:rsidR="002711F4" w:rsidRPr="002711F4">
        <w:rPr>
          <w:rFonts w:cstheme="minorHAnsi"/>
          <w:szCs w:val="20"/>
        </w:rPr>
        <w:t xml:space="preserve"> </w:t>
      </w:r>
      <w:r w:rsidR="002711F4">
        <w:rPr>
          <w:rFonts w:cstheme="minorHAnsi"/>
          <w:szCs w:val="20"/>
        </w:rPr>
        <w:t>n. 36/2023;</w:t>
      </w:r>
    </w:p>
    <w:p w14:paraId="5DB6305C" w14:textId="711E7196" w:rsidR="005145AB" w:rsidRDefault="00A50EE8" w:rsidP="00CE07E9">
      <w:pPr>
        <w:jc w:val="both"/>
        <w:rPr>
          <w:rFonts w:cstheme="minorHAnsi"/>
          <w:szCs w:val="20"/>
        </w:rPr>
      </w:pPr>
      <w:r w:rsidRPr="00A53F47">
        <w:rPr>
          <w:rFonts w:cstheme="minorHAnsi"/>
          <w:b/>
          <w:szCs w:val="20"/>
        </w:rPr>
        <w:t>VISTO</w:t>
      </w:r>
      <w:r w:rsidRPr="00A53F47">
        <w:rPr>
          <w:rFonts w:cstheme="minorHAnsi"/>
          <w:szCs w:val="20"/>
        </w:rPr>
        <w:t xml:space="preserve"> l’art. </w:t>
      </w:r>
      <w:r w:rsidR="0067471B">
        <w:rPr>
          <w:rFonts w:cstheme="minorHAnsi"/>
          <w:szCs w:val="20"/>
        </w:rPr>
        <w:t>93</w:t>
      </w:r>
      <w:r w:rsidRPr="00A53F47">
        <w:rPr>
          <w:rFonts w:cstheme="minorHAnsi"/>
          <w:szCs w:val="20"/>
        </w:rPr>
        <w:t>, comma 1</w:t>
      </w:r>
      <w:r w:rsidR="0067471B">
        <w:rPr>
          <w:rFonts w:cstheme="minorHAnsi"/>
          <w:szCs w:val="20"/>
        </w:rPr>
        <w:t>,</w:t>
      </w:r>
      <w:r w:rsidRPr="00A53F47">
        <w:rPr>
          <w:rFonts w:cstheme="minorHAnsi"/>
          <w:szCs w:val="20"/>
        </w:rPr>
        <w:t xml:space="preserve"> del D</w:t>
      </w:r>
      <w:r w:rsidR="00CE07E9">
        <w:rPr>
          <w:rFonts w:cstheme="minorHAnsi"/>
          <w:szCs w:val="20"/>
        </w:rPr>
        <w:t>ecreto Legislativo</w:t>
      </w:r>
      <w:r w:rsidRPr="00A53F47">
        <w:rPr>
          <w:rFonts w:cstheme="minorHAnsi"/>
          <w:szCs w:val="20"/>
        </w:rPr>
        <w:t xml:space="preserve"> </w:t>
      </w:r>
      <w:r w:rsidR="0067471B">
        <w:rPr>
          <w:rFonts w:cstheme="minorHAnsi"/>
          <w:szCs w:val="20"/>
        </w:rPr>
        <w:t>n. 36/2023,</w:t>
      </w:r>
      <w:r w:rsidRPr="00A53F47">
        <w:rPr>
          <w:rFonts w:cstheme="minorHAnsi"/>
          <w:szCs w:val="20"/>
        </w:rPr>
        <w:t xml:space="preserve"> il quale dispone che, nelle procedure di </w:t>
      </w:r>
      <w:r w:rsidR="005E502F">
        <w:rPr>
          <w:rFonts w:cstheme="minorHAnsi"/>
          <w:szCs w:val="20"/>
        </w:rPr>
        <w:t>aggiudicazione di contratti di appalto con il</w:t>
      </w:r>
      <w:r w:rsidRPr="00A53F47">
        <w:rPr>
          <w:rFonts w:cstheme="minorHAnsi"/>
          <w:szCs w:val="20"/>
        </w:rPr>
        <w:t xml:space="preserve"> criterio dell’offerta economicamente più vantaggiosa,</w:t>
      </w:r>
      <w:r w:rsidR="0031653D">
        <w:rPr>
          <w:rFonts w:cstheme="minorHAnsi"/>
          <w:szCs w:val="20"/>
        </w:rPr>
        <w:t xml:space="preserve"> </w:t>
      </w:r>
      <w:r w:rsidR="005145AB" w:rsidRPr="00455A60">
        <w:rPr>
          <w:rFonts w:cstheme="minorHAnsi"/>
          <w:szCs w:val="20"/>
        </w:rPr>
        <w:t xml:space="preserve">è nominata una </w:t>
      </w:r>
      <w:r w:rsidR="005145AB">
        <w:rPr>
          <w:rFonts w:cstheme="minorHAnsi"/>
          <w:szCs w:val="20"/>
        </w:rPr>
        <w:t>C</w:t>
      </w:r>
      <w:r w:rsidR="005145AB" w:rsidRPr="00455A60">
        <w:rPr>
          <w:rFonts w:cstheme="minorHAnsi"/>
          <w:szCs w:val="20"/>
        </w:rPr>
        <w:t>ommissione giudicatrice che, su richiesta del RUP, svolge anche attività di supporto per la verifica dell'anomalia</w:t>
      </w:r>
      <w:r w:rsidR="005145AB">
        <w:rPr>
          <w:rFonts w:cstheme="minorHAnsi"/>
          <w:szCs w:val="20"/>
        </w:rPr>
        <w:t>;</w:t>
      </w:r>
    </w:p>
    <w:p w14:paraId="609794C0" w14:textId="04646548" w:rsidR="00A50EE8" w:rsidRDefault="00A50EE8" w:rsidP="00CE07E9">
      <w:pPr>
        <w:jc w:val="both"/>
        <w:rPr>
          <w:rFonts w:cstheme="minorHAnsi"/>
          <w:szCs w:val="20"/>
        </w:rPr>
      </w:pPr>
      <w:r w:rsidRPr="00A53F47">
        <w:rPr>
          <w:rFonts w:cstheme="minorHAnsi"/>
          <w:b/>
          <w:szCs w:val="20"/>
        </w:rPr>
        <w:t>VISTE</w:t>
      </w:r>
      <w:r w:rsidRPr="00A53F47">
        <w:rPr>
          <w:rFonts w:cstheme="minorHAnsi"/>
          <w:sz w:val="24"/>
        </w:rPr>
        <w:t xml:space="preserve"> </w:t>
      </w:r>
      <w:r w:rsidRPr="00A53F47">
        <w:rPr>
          <w:rFonts w:cstheme="minorHAnsi"/>
          <w:szCs w:val="20"/>
        </w:rPr>
        <w:t xml:space="preserve">le norme di nomina della Commissione </w:t>
      </w:r>
      <w:r w:rsidR="00F34CA9">
        <w:rPr>
          <w:rFonts w:cstheme="minorHAnsi"/>
          <w:szCs w:val="20"/>
        </w:rPr>
        <w:t>giudicatrice</w:t>
      </w:r>
      <w:r w:rsidRPr="00A53F47">
        <w:rPr>
          <w:rFonts w:cstheme="minorHAnsi"/>
          <w:szCs w:val="20"/>
        </w:rPr>
        <w:t xml:space="preserve"> dettate dall’art. </w:t>
      </w:r>
      <w:r w:rsidR="006A3BA2">
        <w:rPr>
          <w:rFonts w:cstheme="minorHAnsi"/>
          <w:szCs w:val="20"/>
        </w:rPr>
        <w:t>93</w:t>
      </w:r>
      <w:r w:rsidRPr="00A53F47">
        <w:rPr>
          <w:rFonts w:cstheme="minorHAnsi"/>
          <w:szCs w:val="20"/>
        </w:rPr>
        <w:t xml:space="preserve"> del D</w:t>
      </w:r>
      <w:r w:rsidR="00120F59">
        <w:rPr>
          <w:rFonts w:cstheme="minorHAnsi"/>
          <w:szCs w:val="20"/>
        </w:rPr>
        <w:t>ecreto Legislativo</w:t>
      </w:r>
      <w:r w:rsidR="006A3BA2">
        <w:rPr>
          <w:rFonts w:cstheme="minorHAnsi"/>
          <w:szCs w:val="20"/>
        </w:rPr>
        <w:t xml:space="preserve"> n. 36/2023 e,</w:t>
      </w:r>
      <w:r w:rsidRPr="00A53F47">
        <w:rPr>
          <w:rFonts w:cstheme="minorHAnsi"/>
          <w:szCs w:val="20"/>
        </w:rPr>
        <w:t xml:space="preserve"> in particolare</w:t>
      </w:r>
      <w:r w:rsidR="006A3BA2">
        <w:rPr>
          <w:rFonts w:cstheme="minorHAnsi"/>
          <w:szCs w:val="20"/>
        </w:rPr>
        <w:t>,</w:t>
      </w:r>
      <w:r w:rsidRPr="00A53F47">
        <w:rPr>
          <w:rFonts w:cstheme="minorHAnsi"/>
          <w:szCs w:val="20"/>
        </w:rPr>
        <w:t xml:space="preserve"> il comma 3, il quale dispone che i </w:t>
      </w:r>
      <w:r w:rsidR="007770EA">
        <w:rPr>
          <w:rFonts w:cstheme="minorHAnsi"/>
          <w:szCs w:val="20"/>
        </w:rPr>
        <w:t>C</w:t>
      </w:r>
      <w:r w:rsidRPr="00A53F47">
        <w:rPr>
          <w:rFonts w:cstheme="minorHAnsi"/>
          <w:szCs w:val="20"/>
        </w:rPr>
        <w:t>ommissari siano scelti</w:t>
      </w:r>
      <w:r w:rsidR="00CF1D0D">
        <w:rPr>
          <w:rFonts w:cstheme="minorHAnsi"/>
          <w:szCs w:val="20"/>
        </w:rPr>
        <w:t xml:space="preserve"> </w:t>
      </w:r>
      <w:r w:rsidR="00CF1D0D" w:rsidRPr="001C5E59">
        <w:rPr>
          <w:rFonts w:cstheme="minorHAnsi"/>
          <w:szCs w:val="20"/>
        </w:rPr>
        <w:t>secondo criteri di trasparenza, competenza e rotazione</w:t>
      </w:r>
      <w:r w:rsidR="00CF1D0D">
        <w:rPr>
          <w:rFonts w:cstheme="minorHAnsi"/>
          <w:szCs w:val="20"/>
        </w:rPr>
        <w:t xml:space="preserve"> tra</w:t>
      </w:r>
      <w:r w:rsidRPr="00A53F47">
        <w:rPr>
          <w:rFonts w:cstheme="minorHAnsi"/>
          <w:szCs w:val="20"/>
        </w:rPr>
        <w:t>:</w:t>
      </w:r>
    </w:p>
    <w:p w14:paraId="323267F0" w14:textId="218E00D5" w:rsidR="00A50EE8" w:rsidRPr="00A53F47" w:rsidRDefault="00CF1D0D" w:rsidP="00CE07E9">
      <w:pPr>
        <w:numPr>
          <w:ilvl w:val="1"/>
          <w:numId w:val="3"/>
        </w:numPr>
        <w:tabs>
          <w:tab w:val="left" w:pos="567"/>
        </w:tabs>
        <w:ind w:left="567" w:hanging="425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dipendenti </w:t>
      </w:r>
      <w:r w:rsidRPr="001C5E59">
        <w:rPr>
          <w:rFonts w:cstheme="minorHAnsi"/>
          <w:szCs w:val="20"/>
        </w:rPr>
        <w:t>della stazione appaltante o delle amministrazioni beneficiarie dell'intervento, in possesso del necessario inquadramento giuridico e di adeguate competenze professionali</w:t>
      </w:r>
      <w:r>
        <w:rPr>
          <w:rFonts w:cstheme="minorHAnsi"/>
          <w:szCs w:val="20"/>
        </w:rPr>
        <w:t>, compreso il</w:t>
      </w:r>
      <w:r w:rsidRPr="001C5E59">
        <w:rPr>
          <w:rFonts w:cstheme="minorHAnsi"/>
          <w:szCs w:val="20"/>
        </w:rPr>
        <w:t xml:space="preserve"> RUP</w:t>
      </w:r>
      <w:r>
        <w:rPr>
          <w:rFonts w:cstheme="minorHAnsi"/>
          <w:szCs w:val="20"/>
        </w:rPr>
        <w:t>;</w:t>
      </w:r>
    </w:p>
    <w:p w14:paraId="52CA2207" w14:textId="1C38EFD9" w:rsidR="00A50EE8" w:rsidRDefault="00CF1D0D" w:rsidP="00CE07E9">
      <w:pPr>
        <w:numPr>
          <w:ilvl w:val="1"/>
          <w:numId w:val="3"/>
        </w:numPr>
        <w:tabs>
          <w:tab w:val="left" w:pos="567"/>
        </w:tabs>
        <w:ind w:left="567" w:hanging="425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funzionari di altre amministrazioni, in mancanza </w:t>
      </w:r>
      <w:r w:rsidRPr="001C5E59">
        <w:rPr>
          <w:rFonts w:cstheme="minorHAnsi"/>
          <w:szCs w:val="20"/>
        </w:rPr>
        <w:t>di adeguate professionalità in organico</w:t>
      </w:r>
      <w:r>
        <w:rPr>
          <w:rFonts w:cstheme="minorHAnsi"/>
          <w:szCs w:val="20"/>
        </w:rPr>
        <w:t>;</w:t>
      </w:r>
    </w:p>
    <w:p w14:paraId="3671FF8A" w14:textId="5F5105A2" w:rsidR="008E2988" w:rsidRDefault="008E2988" w:rsidP="00CE07E9">
      <w:pPr>
        <w:numPr>
          <w:ilvl w:val="1"/>
          <w:numId w:val="3"/>
        </w:numPr>
        <w:tabs>
          <w:tab w:val="left" w:pos="567"/>
        </w:tabs>
        <w:ind w:left="567" w:hanging="425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professionisti esterni, in </w:t>
      </w:r>
      <w:r w:rsidRPr="001C5E59">
        <w:rPr>
          <w:rFonts w:cstheme="minorHAnsi"/>
          <w:szCs w:val="20"/>
        </w:rPr>
        <w:t>caso di documentata indisponibilità</w:t>
      </w:r>
      <w:r>
        <w:rPr>
          <w:rFonts w:cstheme="minorHAnsi"/>
          <w:szCs w:val="20"/>
        </w:rPr>
        <w:t>;</w:t>
      </w:r>
    </w:p>
    <w:p w14:paraId="4252101D" w14:textId="4B483A2C" w:rsidR="005E0E52" w:rsidRDefault="005E0E52" w:rsidP="005E0E52">
      <w:pPr>
        <w:jc w:val="both"/>
        <w:rPr>
          <w:rFonts w:cstheme="minorHAnsi"/>
          <w:szCs w:val="20"/>
        </w:rPr>
      </w:pPr>
      <w:r w:rsidRPr="005E0E52">
        <w:rPr>
          <w:rFonts w:cstheme="minorHAnsi"/>
          <w:b/>
          <w:bCs/>
          <w:szCs w:val="20"/>
        </w:rPr>
        <w:t>VISTO</w:t>
      </w:r>
      <w:r>
        <w:rPr>
          <w:rFonts w:cstheme="minorHAnsi"/>
          <w:szCs w:val="20"/>
        </w:rPr>
        <w:t xml:space="preserve"> inoltre, che il medesimo art. 93, comma 3, periodo secondo, del Decreto Legislativo n. 36/2023, prevede che «</w:t>
      </w:r>
      <w:r w:rsidRPr="005E0E52">
        <w:rPr>
          <w:rStyle w:val="ui-provider"/>
          <w:i/>
          <w:iCs/>
        </w:rPr>
        <w:t>Della commissione giudicatrice può far parte il RUP</w:t>
      </w:r>
      <w:r>
        <w:rPr>
          <w:rFonts w:cstheme="minorHAnsi"/>
          <w:szCs w:val="20"/>
        </w:rPr>
        <w:t xml:space="preserve">»; </w:t>
      </w:r>
    </w:p>
    <w:p w14:paraId="77CFFAF2" w14:textId="1F6C652B" w:rsidR="00A50EE8" w:rsidRDefault="00A50EE8" w:rsidP="00CE07E9">
      <w:pPr>
        <w:jc w:val="both"/>
        <w:rPr>
          <w:rFonts w:cstheme="minorHAnsi"/>
          <w:szCs w:val="20"/>
        </w:rPr>
      </w:pPr>
      <w:r w:rsidRPr="00A53F47">
        <w:rPr>
          <w:rFonts w:cstheme="minorHAnsi"/>
          <w:b/>
          <w:szCs w:val="20"/>
        </w:rPr>
        <w:t>TENUTO CONTO</w:t>
      </w:r>
      <w:r w:rsidRPr="00A53F47">
        <w:rPr>
          <w:rFonts w:cstheme="minorHAnsi"/>
          <w:sz w:val="24"/>
        </w:rPr>
        <w:t xml:space="preserve"> </w:t>
      </w:r>
      <w:r w:rsidRPr="00A53F47">
        <w:rPr>
          <w:rFonts w:cstheme="minorHAnsi"/>
          <w:szCs w:val="20"/>
        </w:rPr>
        <w:t>che, ai sensi del</w:t>
      </w:r>
      <w:r w:rsidR="00FA11D7">
        <w:rPr>
          <w:rFonts w:cstheme="minorHAnsi"/>
          <w:szCs w:val="20"/>
        </w:rPr>
        <w:t>l’</w:t>
      </w:r>
      <w:r w:rsidRPr="00A53F47">
        <w:rPr>
          <w:rFonts w:cstheme="minorHAnsi"/>
          <w:szCs w:val="20"/>
        </w:rPr>
        <w:t xml:space="preserve">art. </w:t>
      </w:r>
      <w:r w:rsidR="00FA11D7">
        <w:rPr>
          <w:rFonts w:cstheme="minorHAnsi"/>
          <w:szCs w:val="20"/>
        </w:rPr>
        <w:t>93</w:t>
      </w:r>
      <w:r w:rsidRPr="00A53F47">
        <w:rPr>
          <w:rFonts w:cstheme="minorHAnsi"/>
          <w:szCs w:val="20"/>
        </w:rPr>
        <w:t>, comm</w:t>
      </w:r>
      <w:r w:rsidR="00A772B0">
        <w:rPr>
          <w:rFonts w:cstheme="minorHAnsi"/>
          <w:szCs w:val="20"/>
        </w:rPr>
        <w:t>i 1 e</w:t>
      </w:r>
      <w:r w:rsidRPr="00A53F47">
        <w:rPr>
          <w:rFonts w:cstheme="minorHAnsi"/>
          <w:szCs w:val="20"/>
        </w:rPr>
        <w:t xml:space="preserve"> </w:t>
      </w:r>
      <w:r w:rsidR="00FA11D7">
        <w:rPr>
          <w:rFonts w:cstheme="minorHAnsi"/>
          <w:szCs w:val="20"/>
        </w:rPr>
        <w:t>2</w:t>
      </w:r>
      <w:r w:rsidRPr="00A53F47">
        <w:rPr>
          <w:rFonts w:cstheme="minorHAnsi"/>
          <w:szCs w:val="20"/>
        </w:rPr>
        <w:t xml:space="preserve">, </w:t>
      </w:r>
      <w:r w:rsidR="00FA11D7">
        <w:rPr>
          <w:rFonts w:cstheme="minorHAnsi"/>
          <w:szCs w:val="20"/>
        </w:rPr>
        <w:t>del D</w:t>
      </w:r>
      <w:r w:rsidR="00120F59">
        <w:rPr>
          <w:rFonts w:cstheme="minorHAnsi"/>
          <w:szCs w:val="20"/>
        </w:rPr>
        <w:t>ecreto Legislativo</w:t>
      </w:r>
      <w:r w:rsidR="00FA11D7">
        <w:rPr>
          <w:rFonts w:cstheme="minorHAnsi"/>
          <w:szCs w:val="20"/>
        </w:rPr>
        <w:t xml:space="preserve"> n. 36/2023, </w:t>
      </w:r>
      <w:r w:rsidRPr="00A53F47">
        <w:rPr>
          <w:rFonts w:cstheme="minorHAnsi"/>
          <w:szCs w:val="20"/>
        </w:rPr>
        <w:t xml:space="preserve">la Commissione giudicatrice deve essere composta da esperti nello specifico settore cui </w:t>
      </w:r>
      <w:r w:rsidR="00A772B0">
        <w:rPr>
          <w:rFonts w:cstheme="minorHAnsi"/>
          <w:szCs w:val="20"/>
        </w:rPr>
        <w:t>si riferisce</w:t>
      </w:r>
      <w:r w:rsidRPr="00A53F47">
        <w:rPr>
          <w:rFonts w:cstheme="minorHAnsi"/>
          <w:szCs w:val="20"/>
        </w:rPr>
        <w:t xml:space="preserve"> l’oggetto del contratto e che la nomina dei </w:t>
      </w:r>
      <w:r w:rsidR="007770EA">
        <w:rPr>
          <w:rFonts w:cstheme="minorHAnsi"/>
          <w:szCs w:val="20"/>
        </w:rPr>
        <w:t>C</w:t>
      </w:r>
      <w:r w:rsidRPr="00A53F47">
        <w:rPr>
          <w:rFonts w:cstheme="minorHAnsi"/>
          <w:szCs w:val="20"/>
        </w:rPr>
        <w:t>ommissari e la costituzione della Commissione devono avvenire dopo la scadenza del termine fissato per la presentazione delle offerte;</w:t>
      </w:r>
    </w:p>
    <w:p w14:paraId="1C71E875" w14:textId="053DFE87" w:rsidR="005E0E52" w:rsidRDefault="005E0E52" w:rsidP="00CE07E9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[</w:t>
      </w:r>
      <w:r w:rsidRPr="005E0E52">
        <w:rPr>
          <w:rFonts w:cstheme="minorHAnsi"/>
          <w:b/>
          <w:bCs/>
          <w:i/>
          <w:iCs/>
          <w:color w:val="00B050"/>
        </w:rPr>
        <w:t xml:space="preserve">eventuale, solo nel caso di appalti </w:t>
      </w:r>
      <w:proofErr w:type="gramStart"/>
      <w:r w:rsidRPr="005E0E52">
        <w:rPr>
          <w:rFonts w:cstheme="minorHAnsi"/>
          <w:b/>
          <w:bCs/>
          <w:i/>
          <w:iCs/>
          <w:color w:val="00B050"/>
        </w:rPr>
        <w:t>sotto-soglia</w:t>
      </w:r>
      <w:proofErr w:type="gramEnd"/>
      <w:r>
        <w:rPr>
          <w:rFonts w:cstheme="minorHAnsi"/>
          <w:b/>
          <w:bCs/>
          <w:i/>
          <w:iCs/>
          <w:color w:val="00B050"/>
        </w:rPr>
        <w:t xml:space="preserve"> e qualora il RUP non sia stato nominato membro della medesima commissione</w:t>
      </w:r>
      <w:r>
        <w:rPr>
          <w:rFonts w:cstheme="minorHAnsi"/>
          <w:szCs w:val="20"/>
        </w:rPr>
        <w:t xml:space="preserve">] </w:t>
      </w:r>
      <w:r w:rsidRPr="005E0E52">
        <w:rPr>
          <w:rFonts w:cstheme="minorHAnsi"/>
          <w:b/>
          <w:bCs/>
          <w:szCs w:val="20"/>
        </w:rPr>
        <w:t xml:space="preserve">VISTO </w:t>
      </w:r>
      <w:r>
        <w:rPr>
          <w:rFonts w:cstheme="minorHAnsi"/>
          <w:szCs w:val="20"/>
        </w:rPr>
        <w:t>altresì l’art. 51, comma 1, del Decreto Legislativo n. 36/2023, ai sensi del quale «</w:t>
      </w:r>
      <w:r w:rsidRPr="005E0E52">
        <w:rPr>
          <w:i/>
          <w:iCs/>
        </w:rPr>
        <w:t>1</w:t>
      </w:r>
      <w:r w:rsidRPr="005E0E52">
        <w:rPr>
          <w:rFonts w:cstheme="minorHAnsi"/>
          <w:i/>
          <w:iCs/>
          <w:szCs w:val="20"/>
        </w:rPr>
        <w:t>. Nel caso di aggiudicazione dei contratti di cui alla presente Parte con il</w:t>
      </w:r>
      <w:r>
        <w:rPr>
          <w:rFonts w:cstheme="minorHAnsi"/>
          <w:i/>
          <w:iCs/>
          <w:szCs w:val="20"/>
        </w:rPr>
        <w:t xml:space="preserve"> </w:t>
      </w:r>
      <w:r w:rsidRPr="005E0E52">
        <w:rPr>
          <w:rFonts w:cstheme="minorHAnsi"/>
          <w:i/>
          <w:iCs/>
          <w:szCs w:val="20"/>
        </w:rPr>
        <w:t>criterio dell</w:t>
      </w:r>
      <w:r>
        <w:rPr>
          <w:rFonts w:cstheme="minorHAnsi"/>
          <w:i/>
          <w:iCs/>
          <w:szCs w:val="20"/>
        </w:rPr>
        <w:t>’</w:t>
      </w:r>
      <w:r w:rsidRPr="005E0E52">
        <w:rPr>
          <w:rFonts w:cstheme="minorHAnsi"/>
          <w:i/>
          <w:iCs/>
          <w:szCs w:val="20"/>
        </w:rPr>
        <w:t>offerta economicamente più vantaggiosa, alla commissione giudicatrice può partecipare il RUP, anche in qualità di presidente</w:t>
      </w:r>
      <w:r>
        <w:rPr>
          <w:rFonts w:cstheme="minorHAnsi"/>
          <w:szCs w:val="20"/>
        </w:rPr>
        <w:t xml:space="preserve">»; </w:t>
      </w:r>
    </w:p>
    <w:p w14:paraId="5A17C42E" w14:textId="3F20B2CB" w:rsidR="005E0E52" w:rsidRDefault="005E0E52" w:rsidP="00CE07E9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[</w:t>
      </w:r>
      <w:r w:rsidRPr="005E0E52">
        <w:rPr>
          <w:rFonts w:cstheme="minorHAnsi"/>
          <w:b/>
          <w:bCs/>
          <w:i/>
          <w:iCs/>
          <w:color w:val="00B050"/>
        </w:rPr>
        <w:t xml:space="preserve">eventuale, solo nel caso di appalti </w:t>
      </w:r>
      <w:proofErr w:type="gramStart"/>
      <w:r w:rsidRPr="005E0E52">
        <w:rPr>
          <w:rFonts w:cstheme="minorHAnsi"/>
          <w:b/>
          <w:bCs/>
          <w:i/>
          <w:iCs/>
          <w:color w:val="00B050"/>
        </w:rPr>
        <w:t>sotto-soglia</w:t>
      </w:r>
      <w:proofErr w:type="gramEnd"/>
      <w:r>
        <w:rPr>
          <w:rFonts w:cstheme="minorHAnsi"/>
          <w:b/>
          <w:bCs/>
          <w:i/>
          <w:iCs/>
          <w:color w:val="00B050"/>
        </w:rPr>
        <w:t xml:space="preserve"> e qualora il RUP non sia stato nominato membro della medesima commissione</w:t>
      </w:r>
      <w:r>
        <w:rPr>
          <w:rFonts w:cstheme="minorHAnsi"/>
          <w:szCs w:val="20"/>
        </w:rPr>
        <w:t xml:space="preserve">] </w:t>
      </w:r>
      <w:r w:rsidRPr="005E0E52">
        <w:rPr>
          <w:rFonts w:cstheme="minorHAnsi"/>
          <w:b/>
          <w:bCs/>
          <w:szCs w:val="20"/>
        </w:rPr>
        <w:t>TENUTO CONTO</w:t>
      </w:r>
      <w:r>
        <w:rPr>
          <w:rFonts w:cstheme="minorHAnsi"/>
          <w:szCs w:val="20"/>
        </w:rPr>
        <w:t xml:space="preserve"> dunque di voler nominare quale presidente della Commissione, il/la Dott./</w:t>
      </w:r>
      <w:proofErr w:type="spellStart"/>
      <w:r>
        <w:rPr>
          <w:rFonts w:cstheme="minorHAnsi"/>
          <w:szCs w:val="20"/>
        </w:rPr>
        <w:t>ssa</w:t>
      </w:r>
      <w:proofErr w:type="spellEnd"/>
      <w:r>
        <w:rPr>
          <w:rFonts w:cstheme="minorHAnsi"/>
          <w:szCs w:val="20"/>
        </w:rPr>
        <w:t xml:space="preserve"> […], che svolge anche la funzione di Responsabile Unico del Progetto; </w:t>
      </w:r>
    </w:p>
    <w:p w14:paraId="00DB1F56" w14:textId="614FA9EC" w:rsidR="00A50EE8" w:rsidRPr="00A53F47" w:rsidRDefault="00A50EE8" w:rsidP="00CE07E9">
      <w:pPr>
        <w:jc w:val="both"/>
        <w:rPr>
          <w:rFonts w:cstheme="minorHAnsi"/>
          <w:szCs w:val="20"/>
        </w:rPr>
      </w:pPr>
      <w:r w:rsidRPr="00A53F47">
        <w:rPr>
          <w:rFonts w:cstheme="minorHAnsi"/>
          <w:b/>
          <w:szCs w:val="20"/>
        </w:rPr>
        <w:t>RILEVATO</w:t>
      </w:r>
      <w:r w:rsidRPr="00A53F47">
        <w:rPr>
          <w:rFonts w:cstheme="minorHAnsi"/>
          <w:szCs w:val="20"/>
        </w:rPr>
        <w:t xml:space="preserve"> che il termine per la presentazione delle offerte è scaduto il </w:t>
      </w:r>
      <w:r w:rsidRPr="00293851">
        <w:rPr>
          <w:rFonts w:cstheme="minorHAnsi"/>
          <w:szCs w:val="20"/>
        </w:rPr>
        <w:t>[</w:t>
      </w:r>
      <w:r w:rsidRPr="00293851">
        <w:rPr>
          <w:rFonts w:cstheme="minorHAnsi"/>
          <w:i/>
          <w:szCs w:val="20"/>
        </w:rPr>
        <w:t>gg/mm/</w:t>
      </w:r>
      <w:proofErr w:type="spellStart"/>
      <w:r w:rsidRPr="00293851">
        <w:rPr>
          <w:rFonts w:cstheme="minorHAnsi"/>
          <w:i/>
          <w:szCs w:val="20"/>
        </w:rPr>
        <w:t>a</w:t>
      </w:r>
      <w:r w:rsidR="00215C58" w:rsidRPr="00293851">
        <w:rPr>
          <w:rFonts w:cstheme="minorHAnsi"/>
          <w:i/>
          <w:szCs w:val="20"/>
        </w:rPr>
        <w:t>aa</w:t>
      </w:r>
      <w:r w:rsidRPr="00293851">
        <w:rPr>
          <w:rFonts w:cstheme="minorHAnsi"/>
          <w:i/>
          <w:szCs w:val="20"/>
        </w:rPr>
        <w:t>a</w:t>
      </w:r>
      <w:proofErr w:type="spellEnd"/>
      <w:r w:rsidRPr="00293851">
        <w:rPr>
          <w:rFonts w:cstheme="minorHAnsi"/>
          <w:szCs w:val="20"/>
        </w:rPr>
        <w:t>],</w:t>
      </w:r>
      <w:r w:rsidRPr="00A53F47">
        <w:rPr>
          <w:rFonts w:cstheme="minorHAnsi"/>
          <w:szCs w:val="20"/>
        </w:rPr>
        <w:t xml:space="preserve"> alle ore […], e che pertanto può procedersi alla nomina della Commissione giudicatrice;</w:t>
      </w:r>
    </w:p>
    <w:p w14:paraId="714DDECF" w14:textId="713E8F97" w:rsidR="00A50EE8" w:rsidRPr="00A53F47" w:rsidRDefault="000119F5" w:rsidP="00CE07E9">
      <w:pPr>
        <w:jc w:val="both"/>
        <w:rPr>
          <w:rFonts w:cstheme="minorHAnsi"/>
          <w:szCs w:val="20"/>
        </w:rPr>
      </w:pPr>
      <w:r>
        <w:rPr>
          <w:rFonts w:cstheme="minorHAnsi"/>
          <w:b/>
          <w:szCs w:val="20"/>
        </w:rPr>
        <w:t>RITENUTO</w:t>
      </w:r>
      <w:r w:rsidR="00A50EE8" w:rsidRPr="00A53F47">
        <w:rPr>
          <w:rFonts w:cstheme="minorHAnsi"/>
          <w:sz w:val="24"/>
        </w:rPr>
        <w:t xml:space="preserve"> </w:t>
      </w:r>
      <w:r w:rsidR="00A50EE8" w:rsidRPr="00A53F47">
        <w:rPr>
          <w:rFonts w:cstheme="minorHAnsi"/>
          <w:szCs w:val="20"/>
        </w:rPr>
        <w:t xml:space="preserve">che </w:t>
      </w:r>
      <w:r w:rsidR="00D24045">
        <w:rPr>
          <w:rFonts w:cstheme="minorHAnsi"/>
          <w:szCs w:val="20"/>
        </w:rPr>
        <w:t>la suddetta Commissione giudicatrice sia composta</w:t>
      </w:r>
      <w:r w:rsidR="00F943A1">
        <w:rPr>
          <w:rFonts w:cstheme="minorHAnsi"/>
          <w:szCs w:val="20"/>
        </w:rPr>
        <w:t xml:space="preserve"> da:</w:t>
      </w:r>
      <w:r w:rsidR="000C087C" w:rsidRPr="00D950F4">
        <w:rPr>
          <w:rFonts w:cstheme="minorHAnsi"/>
        </w:rPr>
        <w:t xml:space="preserve"> </w:t>
      </w:r>
      <w:r w:rsidR="00F943A1" w:rsidRPr="00A53F47">
        <w:rPr>
          <w:rFonts w:cstheme="minorHAnsi"/>
          <w:szCs w:val="20"/>
        </w:rPr>
        <w:t>[…]</w:t>
      </w:r>
      <w:r w:rsidR="000C087C" w:rsidRPr="00D950F4">
        <w:rPr>
          <w:rFonts w:cstheme="minorHAnsi"/>
        </w:rPr>
        <w:t xml:space="preserve"> (Presidente), </w:t>
      </w:r>
      <w:r w:rsidR="00F943A1" w:rsidRPr="00A53F47">
        <w:rPr>
          <w:rFonts w:cstheme="minorHAnsi"/>
          <w:szCs w:val="20"/>
        </w:rPr>
        <w:t>[…]</w:t>
      </w:r>
      <w:r w:rsidR="000C087C" w:rsidRPr="00D950F4">
        <w:rPr>
          <w:rFonts w:cstheme="minorHAnsi"/>
        </w:rPr>
        <w:t xml:space="preserve"> (Componente), </w:t>
      </w:r>
      <w:r w:rsidR="00F943A1" w:rsidRPr="00A53F47">
        <w:rPr>
          <w:rFonts w:cstheme="minorHAnsi"/>
          <w:szCs w:val="20"/>
        </w:rPr>
        <w:t>[…]</w:t>
      </w:r>
      <w:r w:rsidR="000C087C" w:rsidRPr="00D950F4">
        <w:rPr>
          <w:rFonts w:cstheme="minorHAnsi"/>
        </w:rPr>
        <w:t xml:space="preserve"> (Componente)</w:t>
      </w:r>
      <w:r w:rsidR="00370FEF">
        <w:rPr>
          <w:rFonts w:cstheme="minorHAnsi"/>
        </w:rPr>
        <w:t xml:space="preserve">, </w:t>
      </w:r>
      <w:r w:rsidR="00370FEF" w:rsidRPr="00A53F47">
        <w:rPr>
          <w:rFonts w:cstheme="minorHAnsi"/>
          <w:szCs w:val="20"/>
        </w:rPr>
        <w:t>[…]</w:t>
      </w:r>
      <w:r w:rsidR="00370FEF">
        <w:rPr>
          <w:rFonts w:cstheme="minorHAnsi"/>
        </w:rPr>
        <w:t xml:space="preserve"> </w:t>
      </w:r>
      <w:r w:rsidR="000C087C" w:rsidRPr="00D950F4">
        <w:rPr>
          <w:rFonts w:cstheme="minorHAnsi"/>
        </w:rPr>
        <w:t>in qualità di segretario verbalizzante</w:t>
      </w:r>
      <w:r w:rsidR="000C087C">
        <w:rPr>
          <w:rFonts w:cstheme="minorHAnsi"/>
        </w:rPr>
        <w:t xml:space="preserve"> </w:t>
      </w:r>
      <w:r w:rsidR="00370FEF">
        <w:rPr>
          <w:rFonts w:cstheme="minorHAnsi"/>
        </w:rPr>
        <w:t>[</w:t>
      </w:r>
      <w:r w:rsidR="00370FEF" w:rsidRPr="00370FEF">
        <w:rPr>
          <w:rFonts w:cstheme="minorHAnsi"/>
          <w:b/>
          <w:bCs/>
          <w:i/>
          <w:iCs/>
          <w:color w:val="00B050"/>
        </w:rPr>
        <w:t>eventuale</w:t>
      </w:r>
      <w:r w:rsidR="00370FEF">
        <w:rPr>
          <w:rFonts w:cstheme="minorHAnsi"/>
        </w:rPr>
        <w:t xml:space="preserve">] </w:t>
      </w:r>
      <w:r w:rsidR="000C087C">
        <w:rPr>
          <w:rFonts w:cstheme="minorHAnsi"/>
        </w:rPr>
        <w:t>e, quali membri Supplenti,</w:t>
      </w:r>
      <w:r w:rsidR="00370FEF">
        <w:rPr>
          <w:rFonts w:cstheme="minorHAnsi"/>
        </w:rPr>
        <w:t xml:space="preserve"> </w:t>
      </w:r>
      <w:r w:rsidR="00370FEF" w:rsidRPr="00A53F47">
        <w:rPr>
          <w:rFonts w:cstheme="minorHAnsi"/>
          <w:szCs w:val="20"/>
        </w:rPr>
        <w:t>[…]</w:t>
      </w:r>
      <w:r w:rsidR="00370FEF">
        <w:rPr>
          <w:rFonts w:cstheme="minorHAnsi"/>
          <w:szCs w:val="20"/>
        </w:rPr>
        <w:t xml:space="preserve">, </w:t>
      </w:r>
      <w:r w:rsidR="00370FEF" w:rsidRPr="00A53F47">
        <w:rPr>
          <w:rFonts w:cstheme="minorHAnsi"/>
          <w:szCs w:val="20"/>
        </w:rPr>
        <w:t>[…]</w:t>
      </w:r>
      <w:r w:rsidR="00370FEF">
        <w:rPr>
          <w:rFonts w:cstheme="minorHAnsi"/>
          <w:szCs w:val="20"/>
        </w:rPr>
        <w:t xml:space="preserve"> e </w:t>
      </w:r>
      <w:r w:rsidR="00370FEF" w:rsidRPr="00A53F47">
        <w:rPr>
          <w:rFonts w:cstheme="minorHAnsi"/>
          <w:szCs w:val="20"/>
        </w:rPr>
        <w:t>[…]</w:t>
      </w:r>
      <w:r w:rsidR="00A50EE8" w:rsidRPr="00A53F47">
        <w:rPr>
          <w:rFonts w:cstheme="minorHAnsi"/>
          <w:szCs w:val="20"/>
        </w:rPr>
        <w:t>;</w:t>
      </w:r>
    </w:p>
    <w:p w14:paraId="5369B0B9" w14:textId="29401CFD" w:rsidR="00A50EE8" w:rsidRPr="00A53F47" w:rsidRDefault="00A50EE8" w:rsidP="00CE07E9">
      <w:pPr>
        <w:jc w:val="both"/>
        <w:rPr>
          <w:rFonts w:cstheme="minorHAnsi"/>
          <w:szCs w:val="20"/>
        </w:rPr>
      </w:pPr>
      <w:r w:rsidRPr="00A53F47">
        <w:rPr>
          <w:rFonts w:cstheme="minorHAnsi"/>
          <w:b/>
          <w:szCs w:val="20"/>
        </w:rPr>
        <w:t xml:space="preserve">VISTE </w:t>
      </w:r>
      <w:r w:rsidRPr="00A53F47">
        <w:rPr>
          <w:rFonts w:cstheme="minorHAnsi"/>
          <w:szCs w:val="20"/>
        </w:rPr>
        <w:t xml:space="preserve">le norme vigenti in materia di cause di incompatibilità e astensione previste in capo ai Commissari di </w:t>
      </w:r>
      <w:r w:rsidR="009B3527">
        <w:rPr>
          <w:rFonts w:cstheme="minorHAnsi"/>
          <w:szCs w:val="20"/>
        </w:rPr>
        <w:t>g</w:t>
      </w:r>
      <w:r w:rsidRPr="00A53F47">
        <w:rPr>
          <w:rFonts w:cstheme="minorHAnsi"/>
          <w:szCs w:val="20"/>
        </w:rPr>
        <w:t>ara;</w:t>
      </w:r>
      <w:r w:rsidRPr="00A53F47">
        <w:rPr>
          <w:rFonts w:cstheme="minorHAnsi"/>
          <w:b/>
          <w:szCs w:val="20"/>
        </w:rPr>
        <w:t xml:space="preserve"> </w:t>
      </w:r>
      <w:r w:rsidRPr="00A53F47">
        <w:rPr>
          <w:rFonts w:cstheme="minorHAnsi"/>
          <w:szCs w:val="20"/>
        </w:rPr>
        <w:t xml:space="preserve"> </w:t>
      </w:r>
    </w:p>
    <w:p w14:paraId="18AD8273" w14:textId="7817295B" w:rsidR="00A50EE8" w:rsidRDefault="00A50EE8" w:rsidP="00CE07E9">
      <w:pPr>
        <w:jc w:val="both"/>
        <w:rPr>
          <w:rFonts w:cstheme="minorHAnsi"/>
          <w:szCs w:val="20"/>
        </w:rPr>
      </w:pPr>
      <w:r w:rsidRPr="00A53F47">
        <w:rPr>
          <w:rFonts w:cstheme="minorHAnsi"/>
          <w:b/>
          <w:szCs w:val="20"/>
        </w:rPr>
        <w:lastRenderedPageBreak/>
        <w:t xml:space="preserve">TENUTO CONTO </w:t>
      </w:r>
      <w:r w:rsidRPr="00A53F47">
        <w:rPr>
          <w:rFonts w:cstheme="minorHAnsi"/>
          <w:szCs w:val="20"/>
        </w:rPr>
        <w:t>che</w:t>
      </w:r>
      <w:r w:rsidRPr="00A53F47">
        <w:rPr>
          <w:rFonts w:cstheme="minorHAnsi"/>
          <w:b/>
          <w:szCs w:val="20"/>
        </w:rPr>
        <w:t xml:space="preserve"> </w:t>
      </w:r>
      <w:r w:rsidRPr="00A53F47">
        <w:rPr>
          <w:rFonts w:cstheme="minorHAnsi"/>
          <w:szCs w:val="20"/>
        </w:rPr>
        <w:t xml:space="preserve">i </w:t>
      </w:r>
      <w:r w:rsidR="000E7CE9">
        <w:rPr>
          <w:rFonts w:cstheme="minorHAnsi"/>
          <w:szCs w:val="20"/>
        </w:rPr>
        <w:t>Commissari</w:t>
      </w:r>
      <w:r w:rsidRPr="00A53F47">
        <w:rPr>
          <w:rFonts w:cstheme="minorHAnsi"/>
          <w:szCs w:val="20"/>
        </w:rPr>
        <w:t xml:space="preserve"> nominati con il presente provvedimento dovranno rilasciare dichiarazioni di “accettazione dell’incarico” e di “assenza di cause di incompatibilità e di astensione” previste dalla normativa vigente per l’incarico di cui trattasi;</w:t>
      </w:r>
    </w:p>
    <w:p w14:paraId="0CDB4EF9" w14:textId="6AFB1FB5" w:rsidR="00636BB9" w:rsidRPr="00636BB9" w:rsidRDefault="00636BB9" w:rsidP="00636BB9">
      <w:pPr>
        <w:pStyle w:val="NormaleWeb"/>
        <w:spacing w:before="120" w:beforeAutospacing="0" w:after="120" w:afterAutospacing="0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36BB9">
        <w:rPr>
          <w:rFonts w:asciiTheme="minorHAnsi" w:eastAsiaTheme="minorHAnsi" w:hAnsiTheme="minorHAnsi" w:cstheme="minorHAnsi"/>
          <w:b/>
          <w:sz w:val="22"/>
          <w:szCs w:val="20"/>
          <w:lang w:eastAsia="en-US"/>
        </w:rPr>
        <w:t>VISTO</w:t>
      </w:r>
      <w:r w:rsidRPr="00636BB9"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 l’art. </w:t>
      </w:r>
      <w:r w:rsidRPr="00636BB9">
        <w:rPr>
          <w:rFonts w:asciiTheme="minorHAnsi" w:eastAsiaTheme="minorHAnsi" w:hAnsiTheme="minorHAnsi" w:cstheme="minorHAnsi"/>
          <w:sz w:val="22"/>
          <w:szCs w:val="22"/>
          <w:lang w:eastAsia="en-US"/>
        </w:rPr>
        <w:t>37, comma 1, del D</w:t>
      </w:r>
      <w:r w:rsidR="00DF016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ecreto Legislativo </w:t>
      </w:r>
      <w:r w:rsidRPr="00636BB9">
        <w:rPr>
          <w:rFonts w:asciiTheme="minorHAnsi" w:eastAsiaTheme="minorHAnsi" w:hAnsiTheme="minorHAnsi" w:cstheme="minorHAnsi"/>
          <w:sz w:val="22"/>
          <w:szCs w:val="22"/>
          <w:lang w:eastAsia="en-US"/>
        </w:rPr>
        <w:t>n. 33/2013 il quale dispone che «</w:t>
      </w:r>
      <w:r w:rsidR="000F02C1" w:rsidRPr="000F02C1"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  <w:t>Fermo restando quanto previsto dall'articolo 9-bis e fermi restando gli obblighi di pubblicità legale, le pubbliche amministrazioni e le stazioni appaltanti pubblicano i dati, gli atti e le informazioni secondo quanto previsto dall'articolo 28 del codice dei contratti pubblici, di cui al decreto legislativo di attuazione della legge 21 giugno 2022, n. 78</w:t>
      </w:r>
      <w:r w:rsidRPr="00636BB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»; </w:t>
      </w:r>
    </w:p>
    <w:p w14:paraId="65CEDC14" w14:textId="3C8F79A7" w:rsidR="00A74979" w:rsidRDefault="0067026A" w:rsidP="0067026A">
      <w:pPr>
        <w:jc w:val="both"/>
        <w:rPr>
          <w:rFonts w:cstheme="minorHAnsi"/>
        </w:rPr>
      </w:pPr>
      <w:r>
        <w:rPr>
          <w:rFonts w:cstheme="minorHAnsi"/>
          <w:b/>
          <w:bCs/>
        </w:rPr>
        <w:t>VISTE</w:t>
      </w:r>
      <w:r>
        <w:rPr>
          <w:rFonts w:cstheme="minorHAnsi"/>
        </w:rPr>
        <w:t xml:space="preserve"> le disposizioni di cui all’art. 20, comma 1, del Decreto Legislativo n. 36/2023</w:t>
      </w:r>
      <w:r w:rsidR="000F02C1">
        <w:rPr>
          <w:rFonts w:cstheme="minorHAnsi"/>
        </w:rPr>
        <w:t xml:space="preserve"> </w:t>
      </w:r>
      <w:r>
        <w:rPr>
          <w:rFonts w:cstheme="minorHAnsi"/>
        </w:rPr>
        <w:t>e all’art. 3</w:t>
      </w:r>
      <w:r w:rsidR="00DF0166">
        <w:rPr>
          <w:rFonts w:cstheme="minorHAnsi"/>
        </w:rPr>
        <w:t>7, comma 1,</w:t>
      </w:r>
      <w:r>
        <w:rPr>
          <w:rFonts w:cstheme="minorHAnsi"/>
        </w:rPr>
        <w:t xml:space="preserve"> del Decreto Legislativo n. 33/2013, secondo cui gli atti relativi alle procedure di affidamento sono oggetto di pubblicazione obbligatoria;</w:t>
      </w:r>
    </w:p>
    <w:p w14:paraId="124E1154" w14:textId="35D8CC29" w:rsidR="0067026A" w:rsidRDefault="0067026A" w:rsidP="0067026A">
      <w:pPr>
        <w:jc w:val="both"/>
        <w:rPr>
          <w:rFonts w:cstheme="minorHAnsi"/>
        </w:rPr>
      </w:pPr>
      <w:r w:rsidRPr="0067026A">
        <w:rPr>
          <w:rFonts w:cstheme="minorHAnsi"/>
          <w:b/>
          <w:bCs/>
        </w:rPr>
        <w:t>VISTO</w:t>
      </w:r>
      <w:r>
        <w:rPr>
          <w:rFonts w:cstheme="minorHAnsi"/>
        </w:rPr>
        <w:t xml:space="preserve"> altresì l’art. 28, comma 2, del Decreto Legislativo n. 36/2023, ai sensi del quale «</w:t>
      </w:r>
      <w:r w:rsidR="00800E0E" w:rsidRPr="00800E0E">
        <w:rPr>
          <w:rFonts w:cstheme="minorHAnsi"/>
          <w:i/>
          <w:iCs/>
        </w:rPr>
        <w:t>Le stazioni appaltanti e gli enti concedenti assicurano il collegamento tra la sezione «Amministrazione trasparente» del sito istituzionale e la Banca dati nazionale dei contratti pubblici, secondo le disposizioni di cui al decreto legislativo 14 marzo 2013, n. 33.</w:t>
      </w:r>
      <w:r w:rsidR="00800E0E" w:rsidRPr="00800E0E">
        <w:rPr>
          <w:rFonts w:cstheme="minorHAnsi"/>
        </w:rPr>
        <w:t xml:space="preserve"> </w:t>
      </w:r>
      <w:r w:rsidRPr="0067026A">
        <w:rPr>
          <w:rStyle w:val="ui-provider"/>
          <w:i/>
          <w:iCs/>
        </w:rPr>
        <w:t>Sono pubblicati nella sezione di cui al primo</w:t>
      </w:r>
      <w:r>
        <w:rPr>
          <w:rStyle w:val="ui-provider"/>
          <w:i/>
          <w:iCs/>
        </w:rPr>
        <w:t xml:space="preserve"> </w:t>
      </w:r>
      <w:r w:rsidRPr="0067026A">
        <w:rPr>
          <w:rStyle w:val="ui-provider"/>
          <w:i/>
          <w:iCs/>
        </w:rPr>
        <w:t>periodo la composizione della commissione giudicatrice e i curricula dei suoi</w:t>
      </w:r>
      <w:r>
        <w:rPr>
          <w:rStyle w:val="ui-provider"/>
          <w:i/>
          <w:iCs/>
        </w:rPr>
        <w:t xml:space="preserve"> </w:t>
      </w:r>
      <w:r w:rsidRPr="0067026A">
        <w:rPr>
          <w:rStyle w:val="ui-provider"/>
          <w:i/>
          <w:iCs/>
        </w:rPr>
        <w:t>componenti, nonché i resoconti della gestione finanziaria dei contratti al</w:t>
      </w:r>
      <w:r>
        <w:rPr>
          <w:rStyle w:val="ui-provider"/>
          <w:i/>
          <w:iCs/>
        </w:rPr>
        <w:t xml:space="preserve"> </w:t>
      </w:r>
      <w:r w:rsidRPr="0067026A">
        <w:rPr>
          <w:rStyle w:val="ui-provider"/>
          <w:i/>
          <w:iCs/>
        </w:rPr>
        <w:t>termine della loro esecuzione</w:t>
      </w:r>
      <w:r>
        <w:rPr>
          <w:rFonts w:cstheme="minorHAnsi"/>
        </w:rPr>
        <w:t xml:space="preserve">»; </w:t>
      </w:r>
    </w:p>
    <w:p w14:paraId="2251C581" w14:textId="6AAAE1CE" w:rsidR="00800E0E" w:rsidRDefault="00800E0E" w:rsidP="0067026A">
      <w:pPr>
        <w:jc w:val="both"/>
      </w:pPr>
      <w:r w:rsidRPr="00800E0E">
        <w:rPr>
          <w:rFonts w:cstheme="minorHAnsi"/>
          <w:b/>
          <w:bCs/>
        </w:rPr>
        <w:t>VISTA</w:t>
      </w:r>
      <w:r>
        <w:rPr>
          <w:rFonts w:cstheme="minorHAnsi"/>
        </w:rPr>
        <w:t xml:space="preserve">, inoltre, la </w:t>
      </w:r>
      <w:r>
        <w:t>Delibera adottata da ANAC n. 264 del 20 giugno 2023 come modificata e integrata dalla successiva Delibera n. 601 del 19 dicembre 2023, recante «</w:t>
      </w:r>
      <w:r w:rsidRPr="00800E0E">
        <w:rPr>
          <w:i/>
          <w:iCs/>
        </w:rPr>
        <w:t>Adozione del provvedimento di cui all’articolo 28, comma 4, del decreto legislativo n. 31 marzo 2023, n. 36 recante individuazione delle informazioni e dei dati relativi alla programmazione di lavori, servizi e forniture, nonché alle procedure del ciclo di vita dei contratti pubblici che rilevano ai fini dell’assolvimento degli obblighi di pubblicazione di cui al decreto legislativo 14 marzo 2013, n. 33</w:t>
      </w:r>
      <w:r>
        <w:t>»;</w:t>
      </w:r>
    </w:p>
    <w:p w14:paraId="38A5875C" w14:textId="7747E806" w:rsidR="005814DD" w:rsidRDefault="005814DD" w:rsidP="0067026A">
      <w:pPr>
        <w:jc w:val="both"/>
        <w:rPr>
          <w:rFonts w:cstheme="minorHAnsi"/>
        </w:rPr>
      </w:pPr>
      <w:r w:rsidRPr="005814DD">
        <w:rPr>
          <w:b/>
          <w:bCs/>
        </w:rPr>
        <w:t>TENUTO CONTO</w:t>
      </w:r>
      <w:r>
        <w:t xml:space="preserve"> che ai sensi dell’art. 3, comm</w:t>
      </w:r>
      <w:r w:rsidR="00A74979">
        <w:t>a</w:t>
      </w:r>
      <w:r>
        <w:t xml:space="preserve"> 3.</w:t>
      </w:r>
      <w:r w:rsidR="00A74979">
        <w:t>4,</w:t>
      </w:r>
      <w:r>
        <w:t xml:space="preserve"> della predetta Delibera «</w:t>
      </w:r>
      <w:r w:rsidR="00A74979" w:rsidRPr="00A74979">
        <w:rPr>
          <w:i/>
          <w:iCs/>
        </w:rPr>
        <w:t>Le stazioni appaltanti e gli enti concedenti pubblicano nella sezione “Amministrazione Trasparente” del proprio sito istituzionale gli atti, i dati e le informazioni che non devono essere comunicati alla BDNCP e che sono oggetto di pubblicazione obbligatoria come individuati nell’Allegato 1) al presente provvedimento</w:t>
      </w:r>
      <w:r>
        <w:t>»</w:t>
      </w:r>
      <w:r w:rsidR="00A74979">
        <w:t xml:space="preserve"> e che, secondo quanto disposto dal suddetto Allegato 1), è oggetto di pubblicazione nella sezione Amministrazione Trasparente la «</w:t>
      </w:r>
      <w:r w:rsidR="00A74979" w:rsidRPr="00A74979">
        <w:rPr>
          <w:i/>
          <w:iCs/>
        </w:rPr>
        <w:t>Composizione delle commissioni giudicatrici e  CV dei componenti</w:t>
      </w:r>
      <w:r w:rsidR="00A74979">
        <w:t>»</w:t>
      </w:r>
      <w:r>
        <w:t>;</w:t>
      </w:r>
    </w:p>
    <w:p w14:paraId="5F90FE2B" w14:textId="77777777" w:rsidR="00A50EE8" w:rsidRPr="00A53F47" w:rsidRDefault="00A50EE8" w:rsidP="00CE07E9">
      <w:pPr>
        <w:jc w:val="center"/>
        <w:rPr>
          <w:rFonts w:cstheme="minorHAnsi"/>
          <w:b/>
          <w:szCs w:val="20"/>
        </w:rPr>
      </w:pPr>
      <w:r w:rsidRPr="00A53F47">
        <w:rPr>
          <w:rFonts w:cstheme="minorHAnsi"/>
          <w:b/>
          <w:szCs w:val="20"/>
        </w:rPr>
        <w:t>DETERMINA</w:t>
      </w:r>
    </w:p>
    <w:p w14:paraId="5873A936" w14:textId="77777777" w:rsidR="00A50EE8" w:rsidRPr="00A53F47" w:rsidRDefault="00A50EE8" w:rsidP="001F722C">
      <w:pPr>
        <w:jc w:val="both"/>
        <w:rPr>
          <w:rFonts w:cstheme="minorHAnsi"/>
          <w:szCs w:val="20"/>
        </w:rPr>
      </w:pPr>
      <w:r w:rsidRPr="00A53F47">
        <w:rPr>
          <w:rFonts w:cstheme="minorHAnsi"/>
          <w:szCs w:val="20"/>
        </w:rPr>
        <w:t>per le motivazioni anzi esposte, da considerarsi parte integrante del presente atto:</w:t>
      </w:r>
    </w:p>
    <w:p w14:paraId="682F648A" w14:textId="385C07AC" w:rsidR="00A50EE8" w:rsidRDefault="00A50EE8" w:rsidP="001F722C">
      <w:pPr>
        <w:pStyle w:val="Default"/>
        <w:numPr>
          <w:ilvl w:val="0"/>
          <w:numId w:val="2"/>
        </w:numPr>
        <w:spacing w:after="120"/>
        <w:ind w:left="426" w:hanging="426"/>
        <w:jc w:val="both"/>
        <w:rPr>
          <w:rFonts w:asciiTheme="minorHAnsi" w:eastAsia="Times New Roman" w:hAnsiTheme="minorHAnsi" w:cstheme="minorHAnsi"/>
          <w:color w:val="auto"/>
          <w:sz w:val="22"/>
          <w:szCs w:val="20"/>
        </w:rPr>
      </w:pPr>
      <w:r w:rsidRPr="00A53F47">
        <w:rPr>
          <w:rFonts w:asciiTheme="minorHAnsi" w:eastAsia="Times New Roman" w:hAnsiTheme="minorHAnsi" w:cstheme="minorHAnsi"/>
          <w:color w:val="auto"/>
          <w:sz w:val="22"/>
          <w:szCs w:val="20"/>
        </w:rPr>
        <w:t>di nominare la Commissione giudicatrice per l</w:t>
      </w:r>
      <w:r w:rsidR="0067026A">
        <w:rPr>
          <w:rFonts w:asciiTheme="minorHAnsi" w:eastAsia="Times New Roman" w:hAnsiTheme="minorHAnsi" w:cstheme="minorHAnsi"/>
          <w:color w:val="auto"/>
          <w:sz w:val="22"/>
          <w:szCs w:val="20"/>
        </w:rPr>
        <w:t>’</w:t>
      </w:r>
      <w:r w:rsidRPr="00A53F47">
        <w:rPr>
          <w:rFonts w:asciiTheme="minorHAnsi" w:eastAsia="Times New Roman" w:hAnsiTheme="minorHAnsi" w:cstheme="minorHAnsi"/>
          <w:color w:val="auto"/>
          <w:sz w:val="22"/>
          <w:szCs w:val="20"/>
        </w:rPr>
        <w:t>affidamento dei servizi in oggetto come segue, riservandosi ogni più ampia facoltà di sostituzione dei soggetti di seguito nominati, per il caso di indisponibilità di alcuno di essi:</w:t>
      </w:r>
    </w:p>
    <w:tbl>
      <w:tblPr>
        <w:tblpPr w:leftFromText="141" w:rightFromText="141" w:vertAnchor="text" w:horzAnchor="margin" w:tblpXSpec="center" w:tblpY="7"/>
        <w:tblW w:w="4635" w:type="pct"/>
        <w:tblLook w:val="04A0" w:firstRow="1" w:lastRow="0" w:firstColumn="1" w:lastColumn="0" w:noHBand="0" w:noVBand="1"/>
      </w:tblPr>
      <w:tblGrid>
        <w:gridCol w:w="2770"/>
        <w:gridCol w:w="6164"/>
      </w:tblGrid>
      <w:tr w:rsidR="00CE4AF0" w:rsidRPr="005B270F" w14:paraId="2E8F9502" w14:textId="77777777" w:rsidTr="006658AB">
        <w:trPr>
          <w:trHeight w:val="282"/>
        </w:trPr>
        <w:tc>
          <w:tcPr>
            <w:tcW w:w="1550" w:type="pct"/>
            <w:shd w:val="clear" w:color="auto" w:fill="auto"/>
          </w:tcPr>
          <w:p w14:paraId="542F87AF" w14:textId="77777777" w:rsidR="00CE4AF0" w:rsidRPr="005B270F" w:rsidRDefault="00CE4AF0" w:rsidP="001F722C">
            <w:pPr>
              <w:tabs>
                <w:tab w:val="left" w:pos="284"/>
              </w:tabs>
              <w:ind w:right="425"/>
              <w:jc w:val="both"/>
              <w:rPr>
                <w:rFonts w:cstheme="minorHAnsi"/>
                <w:b/>
                <w:bCs/>
                <w:color w:val="000000"/>
              </w:rPr>
            </w:pPr>
            <w:r w:rsidRPr="005B270F">
              <w:rPr>
                <w:rFonts w:cstheme="minorHAnsi"/>
                <w:b/>
                <w:bCs/>
                <w:color w:val="000000"/>
              </w:rPr>
              <w:t>Presidente</w:t>
            </w:r>
          </w:p>
        </w:tc>
        <w:tc>
          <w:tcPr>
            <w:tcW w:w="3450" w:type="pct"/>
            <w:shd w:val="clear" w:color="auto" w:fill="auto"/>
          </w:tcPr>
          <w:p w14:paraId="3E752169" w14:textId="50D7142D" w:rsidR="00CE4AF0" w:rsidRPr="005B270F" w:rsidRDefault="00CE4AF0" w:rsidP="001F722C">
            <w:pPr>
              <w:tabs>
                <w:tab w:val="left" w:pos="284"/>
              </w:tabs>
              <w:ind w:right="425"/>
              <w:jc w:val="both"/>
              <w:rPr>
                <w:rFonts w:cstheme="minorHAnsi"/>
                <w:color w:val="000000"/>
                <w:highlight w:val="cyan"/>
              </w:rPr>
            </w:pPr>
            <w:r w:rsidRPr="008D5B66">
              <w:rPr>
                <w:rFonts w:eastAsia="Times New Roman" w:cstheme="minorHAnsi"/>
                <w:szCs w:val="20"/>
              </w:rPr>
              <w:t>[…]</w:t>
            </w:r>
            <w:r w:rsidR="001911C3">
              <w:rPr>
                <w:rFonts w:eastAsia="Times New Roman" w:cstheme="minorHAnsi"/>
                <w:szCs w:val="20"/>
              </w:rPr>
              <w:t>;</w:t>
            </w:r>
          </w:p>
        </w:tc>
      </w:tr>
      <w:tr w:rsidR="00CE4AF0" w:rsidRPr="005B270F" w14:paraId="38906FFF" w14:textId="77777777" w:rsidTr="006658AB">
        <w:trPr>
          <w:trHeight w:val="290"/>
        </w:trPr>
        <w:tc>
          <w:tcPr>
            <w:tcW w:w="1550" w:type="pct"/>
            <w:shd w:val="clear" w:color="auto" w:fill="auto"/>
          </w:tcPr>
          <w:p w14:paraId="55543BBA" w14:textId="77777777" w:rsidR="00CE4AF0" w:rsidRPr="005B270F" w:rsidRDefault="00CE4AF0" w:rsidP="001F722C">
            <w:pPr>
              <w:tabs>
                <w:tab w:val="left" w:pos="284"/>
              </w:tabs>
              <w:ind w:right="425"/>
              <w:jc w:val="both"/>
              <w:rPr>
                <w:rFonts w:cstheme="minorHAnsi"/>
                <w:b/>
                <w:bCs/>
                <w:color w:val="000000"/>
              </w:rPr>
            </w:pPr>
            <w:r w:rsidRPr="005B270F">
              <w:rPr>
                <w:rFonts w:cstheme="minorHAnsi"/>
                <w:b/>
                <w:bCs/>
                <w:color w:val="000000"/>
              </w:rPr>
              <w:t>Componente</w:t>
            </w:r>
          </w:p>
        </w:tc>
        <w:tc>
          <w:tcPr>
            <w:tcW w:w="3450" w:type="pct"/>
            <w:shd w:val="clear" w:color="auto" w:fill="auto"/>
          </w:tcPr>
          <w:p w14:paraId="1B842BC9" w14:textId="662DE0C1" w:rsidR="00CE4AF0" w:rsidRPr="005B270F" w:rsidRDefault="00CE4AF0" w:rsidP="001F722C">
            <w:pPr>
              <w:tabs>
                <w:tab w:val="left" w:pos="284"/>
              </w:tabs>
              <w:ind w:right="425"/>
              <w:jc w:val="both"/>
              <w:rPr>
                <w:rFonts w:cstheme="minorHAnsi"/>
                <w:color w:val="000000"/>
              </w:rPr>
            </w:pPr>
            <w:r w:rsidRPr="008D5B66">
              <w:rPr>
                <w:rFonts w:eastAsia="Times New Roman" w:cstheme="minorHAnsi"/>
                <w:szCs w:val="20"/>
              </w:rPr>
              <w:t>[…]</w:t>
            </w:r>
            <w:r w:rsidR="001911C3">
              <w:rPr>
                <w:rFonts w:eastAsia="Times New Roman" w:cstheme="minorHAnsi"/>
                <w:szCs w:val="20"/>
              </w:rPr>
              <w:t>;</w:t>
            </w:r>
          </w:p>
        </w:tc>
      </w:tr>
      <w:tr w:rsidR="00CE4AF0" w:rsidRPr="005B270F" w14:paraId="07616707" w14:textId="77777777" w:rsidTr="006658AB">
        <w:trPr>
          <w:trHeight w:val="290"/>
        </w:trPr>
        <w:tc>
          <w:tcPr>
            <w:tcW w:w="1550" w:type="pct"/>
            <w:shd w:val="clear" w:color="auto" w:fill="auto"/>
          </w:tcPr>
          <w:p w14:paraId="18256966" w14:textId="77777777" w:rsidR="00CE4AF0" w:rsidRPr="005B270F" w:rsidRDefault="00CE4AF0" w:rsidP="001F722C">
            <w:pPr>
              <w:tabs>
                <w:tab w:val="left" w:pos="284"/>
              </w:tabs>
              <w:ind w:right="425"/>
              <w:jc w:val="both"/>
              <w:rPr>
                <w:rFonts w:cstheme="minorHAnsi"/>
                <w:b/>
                <w:bCs/>
                <w:color w:val="000000"/>
              </w:rPr>
            </w:pPr>
            <w:r w:rsidRPr="005B270F">
              <w:rPr>
                <w:rFonts w:cstheme="minorHAnsi"/>
                <w:b/>
                <w:bCs/>
                <w:color w:val="000000"/>
              </w:rPr>
              <w:t>Componente</w:t>
            </w:r>
          </w:p>
        </w:tc>
        <w:tc>
          <w:tcPr>
            <w:tcW w:w="3450" w:type="pct"/>
            <w:shd w:val="clear" w:color="auto" w:fill="auto"/>
          </w:tcPr>
          <w:p w14:paraId="6E4926C6" w14:textId="09144739" w:rsidR="00CE4AF0" w:rsidRPr="005B270F" w:rsidRDefault="00CE4AF0" w:rsidP="001F722C">
            <w:pPr>
              <w:tabs>
                <w:tab w:val="left" w:pos="284"/>
              </w:tabs>
              <w:ind w:right="425"/>
              <w:jc w:val="both"/>
              <w:rPr>
                <w:rFonts w:cstheme="minorHAnsi"/>
                <w:color w:val="000000"/>
              </w:rPr>
            </w:pPr>
            <w:r w:rsidRPr="008D5B66">
              <w:rPr>
                <w:rFonts w:eastAsia="Times New Roman" w:cstheme="minorHAnsi"/>
                <w:szCs w:val="20"/>
              </w:rPr>
              <w:t>[…]</w:t>
            </w:r>
            <w:r w:rsidR="001911C3">
              <w:rPr>
                <w:rFonts w:eastAsia="Times New Roman" w:cstheme="minorHAnsi"/>
                <w:szCs w:val="20"/>
              </w:rPr>
              <w:t>;</w:t>
            </w:r>
          </w:p>
        </w:tc>
      </w:tr>
      <w:tr w:rsidR="00CE4AF0" w:rsidRPr="005B270F" w14:paraId="1B814A90" w14:textId="77777777" w:rsidTr="006658AB">
        <w:trPr>
          <w:trHeight w:val="290"/>
        </w:trPr>
        <w:tc>
          <w:tcPr>
            <w:tcW w:w="1550" w:type="pct"/>
            <w:shd w:val="clear" w:color="auto" w:fill="auto"/>
          </w:tcPr>
          <w:p w14:paraId="3EBA3D00" w14:textId="77777777" w:rsidR="00CE4AF0" w:rsidRPr="005B270F" w:rsidRDefault="00CE4AF0" w:rsidP="001F722C">
            <w:pPr>
              <w:tabs>
                <w:tab w:val="left" w:pos="284"/>
              </w:tabs>
              <w:ind w:right="425"/>
              <w:jc w:val="both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[</w:t>
            </w:r>
            <w:r w:rsidRPr="001507F9">
              <w:rPr>
                <w:rFonts w:cstheme="minorHAnsi"/>
                <w:b/>
                <w:bCs/>
                <w:i/>
                <w:iCs/>
                <w:color w:val="00B050"/>
              </w:rPr>
              <w:t>eventuale</w:t>
            </w:r>
            <w:r>
              <w:rPr>
                <w:rFonts w:cstheme="minorHAnsi"/>
                <w:b/>
                <w:bCs/>
                <w:color w:val="000000"/>
              </w:rPr>
              <w:t xml:space="preserve">] </w:t>
            </w:r>
            <w:r w:rsidRPr="005B270F">
              <w:rPr>
                <w:rFonts w:cstheme="minorHAnsi"/>
                <w:b/>
                <w:bCs/>
                <w:color w:val="000000"/>
              </w:rPr>
              <w:t>Supplente</w:t>
            </w:r>
          </w:p>
        </w:tc>
        <w:tc>
          <w:tcPr>
            <w:tcW w:w="3450" w:type="pct"/>
            <w:shd w:val="clear" w:color="auto" w:fill="auto"/>
          </w:tcPr>
          <w:p w14:paraId="09C31174" w14:textId="69FD19E4" w:rsidR="00CE4AF0" w:rsidRPr="005B270F" w:rsidRDefault="00CE4AF0" w:rsidP="001F722C">
            <w:pPr>
              <w:tabs>
                <w:tab w:val="left" w:pos="284"/>
              </w:tabs>
              <w:ind w:right="425"/>
              <w:jc w:val="both"/>
              <w:rPr>
                <w:rFonts w:cstheme="minorHAnsi"/>
                <w:color w:val="000000"/>
              </w:rPr>
            </w:pPr>
            <w:r w:rsidRPr="008D5B66">
              <w:rPr>
                <w:rFonts w:eastAsia="Times New Roman" w:cstheme="minorHAnsi"/>
                <w:szCs w:val="20"/>
              </w:rPr>
              <w:t>[…]</w:t>
            </w:r>
            <w:r w:rsidR="001911C3">
              <w:rPr>
                <w:rFonts w:eastAsia="Times New Roman" w:cstheme="minorHAnsi"/>
                <w:szCs w:val="20"/>
              </w:rPr>
              <w:t>;</w:t>
            </w:r>
          </w:p>
        </w:tc>
      </w:tr>
      <w:tr w:rsidR="00CE4AF0" w:rsidRPr="005B270F" w14:paraId="09922E2F" w14:textId="77777777" w:rsidTr="006658AB">
        <w:trPr>
          <w:trHeight w:val="290"/>
        </w:trPr>
        <w:tc>
          <w:tcPr>
            <w:tcW w:w="1550" w:type="pct"/>
            <w:shd w:val="clear" w:color="auto" w:fill="auto"/>
          </w:tcPr>
          <w:p w14:paraId="4A162B5D" w14:textId="77777777" w:rsidR="00CE4AF0" w:rsidRPr="005B270F" w:rsidRDefault="00CE4AF0" w:rsidP="001F722C">
            <w:pPr>
              <w:tabs>
                <w:tab w:val="left" w:pos="284"/>
              </w:tabs>
              <w:ind w:right="425"/>
              <w:jc w:val="both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[</w:t>
            </w:r>
            <w:r w:rsidRPr="001507F9">
              <w:rPr>
                <w:rFonts w:cstheme="minorHAnsi"/>
                <w:b/>
                <w:bCs/>
                <w:i/>
                <w:iCs/>
                <w:color w:val="00B050"/>
              </w:rPr>
              <w:t>eventuale</w:t>
            </w:r>
            <w:r>
              <w:rPr>
                <w:rFonts w:cstheme="minorHAnsi"/>
                <w:b/>
                <w:bCs/>
                <w:color w:val="000000"/>
              </w:rPr>
              <w:t xml:space="preserve">] </w:t>
            </w:r>
            <w:r w:rsidRPr="005B270F">
              <w:rPr>
                <w:rFonts w:cstheme="minorHAnsi"/>
                <w:b/>
                <w:bCs/>
                <w:color w:val="000000"/>
              </w:rPr>
              <w:t>Supplente</w:t>
            </w:r>
          </w:p>
        </w:tc>
        <w:tc>
          <w:tcPr>
            <w:tcW w:w="3450" w:type="pct"/>
            <w:shd w:val="clear" w:color="auto" w:fill="auto"/>
          </w:tcPr>
          <w:p w14:paraId="4F8A5957" w14:textId="2DD724E8" w:rsidR="00CE4AF0" w:rsidRPr="005B270F" w:rsidRDefault="00CE4AF0" w:rsidP="001F722C">
            <w:pPr>
              <w:tabs>
                <w:tab w:val="left" w:pos="284"/>
              </w:tabs>
              <w:ind w:right="425"/>
              <w:jc w:val="both"/>
              <w:rPr>
                <w:rFonts w:cstheme="minorHAnsi"/>
                <w:color w:val="000000"/>
              </w:rPr>
            </w:pPr>
            <w:r w:rsidRPr="008D5B66">
              <w:rPr>
                <w:rFonts w:eastAsia="Times New Roman" w:cstheme="minorHAnsi"/>
                <w:szCs w:val="20"/>
              </w:rPr>
              <w:t>[…]</w:t>
            </w:r>
            <w:r w:rsidR="001911C3">
              <w:rPr>
                <w:rFonts w:eastAsia="Times New Roman" w:cstheme="minorHAnsi"/>
                <w:szCs w:val="20"/>
              </w:rPr>
              <w:t>;</w:t>
            </w:r>
          </w:p>
        </w:tc>
      </w:tr>
      <w:tr w:rsidR="00CE4AF0" w:rsidRPr="005B270F" w14:paraId="5C407A0C" w14:textId="77777777" w:rsidTr="006658AB">
        <w:trPr>
          <w:trHeight w:val="290"/>
        </w:trPr>
        <w:tc>
          <w:tcPr>
            <w:tcW w:w="1550" w:type="pct"/>
            <w:shd w:val="clear" w:color="auto" w:fill="auto"/>
          </w:tcPr>
          <w:p w14:paraId="480270CE" w14:textId="77777777" w:rsidR="00CE4AF0" w:rsidRPr="005B270F" w:rsidRDefault="00CE4AF0" w:rsidP="001F722C">
            <w:pPr>
              <w:tabs>
                <w:tab w:val="left" w:pos="284"/>
              </w:tabs>
              <w:ind w:right="425"/>
              <w:jc w:val="both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[</w:t>
            </w:r>
            <w:r w:rsidRPr="001507F9">
              <w:rPr>
                <w:rFonts w:cstheme="minorHAnsi"/>
                <w:b/>
                <w:bCs/>
                <w:i/>
                <w:iCs/>
                <w:color w:val="00B050"/>
              </w:rPr>
              <w:t>eventuale</w:t>
            </w:r>
            <w:r>
              <w:rPr>
                <w:rFonts w:cstheme="minorHAnsi"/>
                <w:b/>
                <w:bCs/>
                <w:color w:val="000000"/>
              </w:rPr>
              <w:t xml:space="preserve">] </w:t>
            </w:r>
            <w:r w:rsidRPr="005B270F">
              <w:rPr>
                <w:rFonts w:cstheme="minorHAnsi"/>
                <w:b/>
                <w:bCs/>
                <w:color w:val="000000"/>
              </w:rPr>
              <w:t>Supplente</w:t>
            </w:r>
          </w:p>
        </w:tc>
        <w:tc>
          <w:tcPr>
            <w:tcW w:w="3450" w:type="pct"/>
            <w:shd w:val="clear" w:color="auto" w:fill="auto"/>
          </w:tcPr>
          <w:p w14:paraId="20AE5D5D" w14:textId="31AFB365" w:rsidR="00CE4AF0" w:rsidRPr="005B270F" w:rsidRDefault="00CE4AF0" w:rsidP="001F722C">
            <w:pPr>
              <w:tabs>
                <w:tab w:val="left" w:pos="284"/>
              </w:tabs>
              <w:ind w:right="425"/>
              <w:jc w:val="both"/>
              <w:rPr>
                <w:rFonts w:cstheme="minorHAnsi"/>
                <w:color w:val="000000"/>
              </w:rPr>
            </w:pPr>
            <w:r w:rsidRPr="008D5B66">
              <w:rPr>
                <w:rFonts w:eastAsia="Times New Roman" w:cstheme="minorHAnsi"/>
                <w:szCs w:val="20"/>
              </w:rPr>
              <w:t>[…]</w:t>
            </w:r>
            <w:r w:rsidR="001911C3">
              <w:rPr>
                <w:rFonts w:eastAsia="Times New Roman" w:cstheme="minorHAnsi"/>
                <w:szCs w:val="20"/>
              </w:rPr>
              <w:t>.</w:t>
            </w:r>
          </w:p>
        </w:tc>
      </w:tr>
      <w:tr w:rsidR="00CE4AF0" w:rsidRPr="005B270F" w14:paraId="2BF0205D" w14:textId="77777777" w:rsidTr="006658AB">
        <w:trPr>
          <w:trHeight w:val="290"/>
        </w:trPr>
        <w:tc>
          <w:tcPr>
            <w:tcW w:w="5000" w:type="pct"/>
            <w:gridSpan w:val="2"/>
            <w:shd w:val="clear" w:color="auto" w:fill="auto"/>
          </w:tcPr>
          <w:p w14:paraId="30970038" w14:textId="10561101" w:rsidR="00CE4AF0" w:rsidRPr="008D5B66" w:rsidRDefault="00CE4AF0" w:rsidP="001F722C">
            <w:pPr>
              <w:tabs>
                <w:tab w:val="left" w:pos="284"/>
              </w:tabs>
              <w:ind w:right="425"/>
              <w:jc w:val="both"/>
              <w:rPr>
                <w:rFonts w:eastAsia="Times New Roman" w:cstheme="minorHAnsi"/>
                <w:szCs w:val="20"/>
              </w:rPr>
            </w:pPr>
            <w:r>
              <w:rPr>
                <w:rFonts w:eastAsia="Times New Roman" w:cstheme="minorHAnsi"/>
                <w:szCs w:val="20"/>
              </w:rPr>
              <w:t xml:space="preserve">Le </w:t>
            </w:r>
            <w:r w:rsidRPr="00D950F4">
              <w:rPr>
                <w:rFonts w:cstheme="minorHAnsi"/>
              </w:rPr>
              <w:t>funzioni di Segretario della Commissione</w:t>
            </w:r>
            <w:r>
              <w:rPr>
                <w:rFonts w:cstheme="minorHAnsi"/>
              </w:rPr>
              <w:t xml:space="preserve"> giudicatrice</w:t>
            </w:r>
            <w:r w:rsidRPr="00D950F4">
              <w:rPr>
                <w:rFonts w:cstheme="minorHAnsi"/>
              </w:rPr>
              <w:t xml:space="preserve"> sono svolte dal/dalla </w:t>
            </w:r>
            <w:r>
              <w:rPr>
                <w:rFonts w:cstheme="minorHAnsi"/>
              </w:rPr>
              <w:t>Sig</w:t>
            </w:r>
            <w:r w:rsidRPr="00D950F4">
              <w:rPr>
                <w:rFonts w:cstheme="minorHAnsi"/>
              </w:rPr>
              <w:t>./</w:t>
            </w:r>
            <w:r>
              <w:rPr>
                <w:rFonts w:cstheme="minorHAnsi"/>
              </w:rPr>
              <w:t>Sig.ra […]</w:t>
            </w:r>
            <w:r w:rsidR="001911C3">
              <w:rPr>
                <w:rFonts w:cstheme="minorHAnsi"/>
              </w:rPr>
              <w:t>;</w:t>
            </w:r>
          </w:p>
        </w:tc>
      </w:tr>
    </w:tbl>
    <w:p w14:paraId="50C0691C" w14:textId="77777777" w:rsidR="0093269D" w:rsidRDefault="00A50EE8" w:rsidP="0093269D">
      <w:pPr>
        <w:numPr>
          <w:ilvl w:val="0"/>
          <w:numId w:val="2"/>
        </w:numPr>
        <w:ind w:left="426" w:hanging="426"/>
        <w:jc w:val="both"/>
        <w:rPr>
          <w:rFonts w:cstheme="minorHAnsi"/>
          <w:szCs w:val="20"/>
        </w:rPr>
      </w:pPr>
      <w:r w:rsidRPr="00A53F47">
        <w:rPr>
          <w:rFonts w:cstheme="minorHAnsi"/>
          <w:szCs w:val="20"/>
        </w:rPr>
        <w:lastRenderedPageBreak/>
        <w:t>di richiedere il rilascio delle dichiarazioni di “accettazione dell’incarico” e di “assenza di cause di incompatibilità e di astensione” previste dalla normativa vigente per l’incarico di cui trattasi, in capo ai membri della Commissione;</w:t>
      </w:r>
    </w:p>
    <w:p w14:paraId="5C03F6E9" w14:textId="2C740E09" w:rsidR="00A50EE8" w:rsidRPr="0093269D" w:rsidRDefault="0093269D" w:rsidP="0093269D">
      <w:pPr>
        <w:numPr>
          <w:ilvl w:val="0"/>
          <w:numId w:val="2"/>
        </w:numPr>
        <w:ind w:left="426" w:hanging="426"/>
        <w:jc w:val="both"/>
        <w:rPr>
          <w:rFonts w:cstheme="minorHAnsi"/>
          <w:szCs w:val="20"/>
        </w:rPr>
      </w:pPr>
      <w:r w:rsidRPr="0093269D">
        <w:rPr>
          <w:rFonts w:cstheme="minorHAnsi"/>
          <w:szCs w:val="20"/>
        </w:rPr>
        <w:t>di pubblicare nella sezione “Amministrazione trasparente” del</w:t>
      </w:r>
      <w:r w:rsidR="00A74979">
        <w:rPr>
          <w:rFonts w:cstheme="minorHAnsi"/>
          <w:szCs w:val="20"/>
        </w:rPr>
        <w:t>l’</w:t>
      </w:r>
      <w:r w:rsidRPr="0093269D">
        <w:rPr>
          <w:rFonts w:cstheme="minorHAnsi"/>
          <w:szCs w:val="20"/>
        </w:rPr>
        <w:t xml:space="preserve">Istituto </w:t>
      </w:r>
      <w:r w:rsidR="00A74979">
        <w:rPr>
          <w:rFonts w:cstheme="minorHAnsi"/>
          <w:szCs w:val="20"/>
        </w:rPr>
        <w:t>la presente Determina e i CV dei Commissari</w:t>
      </w:r>
      <w:r w:rsidRPr="0093269D">
        <w:rPr>
          <w:rFonts w:cstheme="minorHAnsi"/>
          <w:szCs w:val="20"/>
        </w:rPr>
        <w:t>.</w:t>
      </w:r>
      <w:bookmarkStart w:id="1" w:name="_Hlk155186945"/>
    </w:p>
    <w:tbl>
      <w:tblPr>
        <w:tblStyle w:val="Grigliatabella"/>
        <w:tblW w:w="0" w:type="auto"/>
        <w:tblInd w:w="69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7"/>
      </w:tblGrid>
      <w:tr w:rsidR="0040286E" w:rsidRPr="002625AB" w14:paraId="692AB132" w14:textId="77777777" w:rsidTr="005E1698">
        <w:tc>
          <w:tcPr>
            <w:tcW w:w="2687" w:type="dxa"/>
            <w:vAlign w:val="center"/>
          </w:tcPr>
          <w:bookmarkEnd w:id="1"/>
          <w:p w14:paraId="4E9FF299" w14:textId="77777777" w:rsidR="0040286E" w:rsidRPr="002625AB" w:rsidRDefault="0040286E" w:rsidP="001F722C">
            <w:pPr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2625AB">
              <w:rPr>
                <w:rFonts w:eastAsia="Times New Roman" w:cstheme="minorHAnsi"/>
                <w:b/>
                <w:bCs/>
                <w:lang w:eastAsia="it-IT"/>
              </w:rPr>
              <w:t>IL DIRIGENTE SCOLASTICO</w:t>
            </w:r>
          </w:p>
        </w:tc>
      </w:tr>
      <w:tr w:rsidR="0040286E" w:rsidRPr="002625AB" w14:paraId="1E175900" w14:textId="77777777" w:rsidTr="005E1698">
        <w:tc>
          <w:tcPr>
            <w:tcW w:w="2687" w:type="dxa"/>
            <w:vAlign w:val="center"/>
          </w:tcPr>
          <w:p w14:paraId="25DCAE4C" w14:textId="77777777" w:rsidR="0040286E" w:rsidRPr="002625AB" w:rsidRDefault="0040286E" w:rsidP="001F722C">
            <w:pPr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2625AB">
              <w:rPr>
                <w:rFonts w:eastAsia="Times New Roman" w:cstheme="minorHAnsi"/>
                <w:b/>
                <w:bCs/>
                <w:lang w:eastAsia="it-IT"/>
              </w:rPr>
              <w:t>[…]</w:t>
            </w:r>
          </w:p>
        </w:tc>
      </w:tr>
    </w:tbl>
    <w:p w14:paraId="438DE299" w14:textId="00BB8884" w:rsidR="008E1BFE" w:rsidRPr="00A50EE8" w:rsidRDefault="008E1BFE" w:rsidP="001F722C">
      <w:pPr>
        <w:rPr>
          <w:rFonts w:cstheme="minorHAnsi"/>
          <w:b/>
          <w:bCs/>
          <w:szCs w:val="20"/>
        </w:rPr>
      </w:pPr>
    </w:p>
    <w:sectPr w:rsidR="008E1BFE" w:rsidRPr="00A50EE8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57633" w14:textId="77777777" w:rsidR="00163C53" w:rsidRDefault="00163C53" w:rsidP="00AC1B0A">
      <w:pPr>
        <w:spacing w:before="0" w:after="0"/>
      </w:pPr>
      <w:r>
        <w:separator/>
      </w:r>
    </w:p>
  </w:endnote>
  <w:endnote w:type="continuationSeparator" w:id="0">
    <w:p w14:paraId="4B6B8AB6" w14:textId="77777777" w:rsidR="00163C53" w:rsidRDefault="00163C53" w:rsidP="00AC1B0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224092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1A59E3D" w14:textId="0269FBDC" w:rsidR="001D2138" w:rsidRPr="001D2138" w:rsidRDefault="001D2138" w:rsidP="001D2138">
        <w:pPr>
          <w:pStyle w:val="Pidipagina"/>
          <w:jc w:val="center"/>
          <w:rPr>
            <w:sz w:val="20"/>
            <w:szCs w:val="20"/>
          </w:rPr>
        </w:pPr>
        <w:r w:rsidRPr="001D2138">
          <w:rPr>
            <w:sz w:val="20"/>
            <w:szCs w:val="20"/>
          </w:rPr>
          <w:fldChar w:fldCharType="begin"/>
        </w:r>
        <w:r w:rsidRPr="001D2138">
          <w:rPr>
            <w:sz w:val="20"/>
            <w:szCs w:val="20"/>
          </w:rPr>
          <w:instrText>PAGE   \* MERGEFORMAT</w:instrText>
        </w:r>
        <w:r w:rsidRPr="001D2138">
          <w:rPr>
            <w:sz w:val="20"/>
            <w:szCs w:val="20"/>
          </w:rPr>
          <w:fldChar w:fldCharType="separate"/>
        </w:r>
        <w:r w:rsidRPr="001D2138">
          <w:rPr>
            <w:sz w:val="20"/>
            <w:szCs w:val="20"/>
          </w:rPr>
          <w:t>2</w:t>
        </w:r>
        <w:r w:rsidRPr="001D2138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22BD5" w14:textId="77777777" w:rsidR="00163C53" w:rsidRDefault="00163C53" w:rsidP="00AC1B0A">
      <w:pPr>
        <w:spacing w:before="0" w:after="0"/>
      </w:pPr>
      <w:r>
        <w:separator/>
      </w:r>
    </w:p>
  </w:footnote>
  <w:footnote w:type="continuationSeparator" w:id="0">
    <w:p w14:paraId="25D6A412" w14:textId="77777777" w:rsidR="00163C53" w:rsidRDefault="00163C53" w:rsidP="00AC1B0A">
      <w:pPr>
        <w:spacing w:before="0" w:after="0"/>
      </w:pPr>
      <w:r>
        <w:continuationSeparator/>
      </w:r>
    </w:p>
  </w:footnote>
  <w:footnote w:id="1">
    <w:p w14:paraId="314A0C7F" w14:textId="7753AB14" w:rsidR="00293851" w:rsidRDefault="00E175F3" w:rsidP="00293851">
      <w:pPr>
        <w:pStyle w:val="Testonotaapidipagina"/>
        <w:jc w:val="both"/>
      </w:pPr>
      <w:r>
        <w:rPr>
          <w:rStyle w:val="Rimandonotaapidipagina"/>
        </w:rPr>
        <w:footnoteRef/>
      </w:r>
      <w:r w:rsidR="00293851">
        <w:t>Per favorire una compilazione più veloce, il testo è stato così suddiviso:</w:t>
      </w:r>
    </w:p>
    <w:p w14:paraId="00CE210F" w14:textId="77777777" w:rsidR="00293851" w:rsidRDefault="00293851" w:rsidP="00293851">
      <w:pPr>
        <w:pStyle w:val="Testonotaapidipagina"/>
        <w:jc w:val="both"/>
      </w:pPr>
      <w:r>
        <w:t xml:space="preserve">- Testo in </w:t>
      </w:r>
      <w:r>
        <w:rPr>
          <w:b/>
          <w:bCs/>
          <w:color w:val="00B050"/>
        </w:rPr>
        <w:t>verde</w:t>
      </w:r>
      <w:r>
        <w:t>: si riferisce alle parti da inserire solo “in caso di” o qualora lo si ritenga opportuno;</w:t>
      </w:r>
    </w:p>
    <w:p w14:paraId="77457EF2" w14:textId="0256C41E" w:rsidR="00E175F3" w:rsidRDefault="00293851" w:rsidP="00293851">
      <w:pPr>
        <w:pStyle w:val="Testonotaapidipagina"/>
        <w:jc w:val="both"/>
      </w:pPr>
      <w:r>
        <w:t>- Testo […]: da compilare a cura dell’Istituzione scolastica.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633A2" w14:textId="348192DF" w:rsidR="00AC1B0A" w:rsidRDefault="00AC1B0A" w:rsidP="00AC1B0A">
    <w:pPr>
      <w:pStyle w:val="Intestazione"/>
      <w:jc w:val="center"/>
    </w:pPr>
    <w:r w:rsidRPr="00B1609A">
      <w:rPr>
        <w:rFonts w:cstheme="minorHAnsi"/>
        <w:sz w:val="20"/>
        <w:szCs w:val="20"/>
      </w:rPr>
      <w:t>[</w:t>
    </w:r>
    <w:r w:rsidRPr="00B1609A">
      <w:rPr>
        <w:rFonts w:cstheme="minorHAnsi"/>
        <w:i/>
        <w:iCs/>
        <w:sz w:val="20"/>
        <w:szCs w:val="20"/>
      </w:rPr>
      <w:t>schema da adeguare in base alle esigenze della singola Istituzione scolastica</w:t>
    </w:r>
    <w:r w:rsidRPr="00B1609A">
      <w:rPr>
        <w:rFonts w:cstheme="minorHAnsi"/>
        <w:sz w:val="20"/>
        <w:szCs w:val="20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947EF"/>
    <w:multiLevelType w:val="hybridMultilevel"/>
    <w:tmpl w:val="B740C764"/>
    <w:lvl w:ilvl="0" w:tplc="0410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33B4510"/>
    <w:multiLevelType w:val="hybridMultilevel"/>
    <w:tmpl w:val="0114B8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51EA624">
      <w:numFmt w:val="bullet"/>
      <w:lvlText w:val="−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292DFE"/>
    <w:multiLevelType w:val="hybridMultilevel"/>
    <w:tmpl w:val="2FB6CDA4"/>
    <w:lvl w:ilvl="0" w:tplc="0410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5BE93F50"/>
    <w:multiLevelType w:val="hybridMultilevel"/>
    <w:tmpl w:val="5F501734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749E2254"/>
    <w:multiLevelType w:val="hybridMultilevel"/>
    <w:tmpl w:val="B30C5A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1618998">
    <w:abstractNumId w:val="1"/>
  </w:num>
  <w:num w:numId="2" w16cid:durableId="1023437055">
    <w:abstractNumId w:val="4"/>
  </w:num>
  <w:num w:numId="3" w16cid:durableId="1043478385">
    <w:abstractNumId w:val="0"/>
  </w:num>
  <w:num w:numId="4" w16cid:durableId="484977096">
    <w:abstractNumId w:val="2"/>
  </w:num>
  <w:num w:numId="5" w16cid:durableId="17968305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EE8"/>
    <w:rsid w:val="00003D54"/>
    <w:rsid w:val="000119F5"/>
    <w:rsid w:val="0007660F"/>
    <w:rsid w:val="000C087C"/>
    <w:rsid w:val="000E7CE9"/>
    <w:rsid w:val="000F02C1"/>
    <w:rsid w:val="00120F59"/>
    <w:rsid w:val="001507F9"/>
    <w:rsid w:val="00163C53"/>
    <w:rsid w:val="001911C3"/>
    <w:rsid w:val="001A7AC9"/>
    <w:rsid w:val="001C5E59"/>
    <w:rsid w:val="001D2138"/>
    <w:rsid w:val="001D4C99"/>
    <w:rsid w:val="001F722C"/>
    <w:rsid w:val="00215C58"/>
    <w:rsid w:val="00225D78"/>
    <w:rsid w:val="002711F4"/>
    <w:rsid w:val="00293851"/>
    <w:rsid w:val="002C0966"/>
    <w:rsid w:val="0031653D"/>
    <w:rsid w:val="00324D31"/>
    <w:rsid w:val="00370FEF"/>
    <w:rsid w:val="0037651E"/>
    <w:rsid w:val="003E3D54"/>
    <w:rsid w:val="0040286E"/>
    <w:rsid w:val="0041259D"/>
    <w:rsid w:val="00455A60"/>
    <w:rsid w:val="0045655A"/>
    <w:rsid w:val="004916D2"/>
    <w:rsid w:val="004A0E8B"/>
    <w:rsid w:val="004C2730"/>
    <w:rsid w:val="005145AB"/>
    <w:rsid w:val="0051760A"/>
    <w:rsid w:val="00525AE7"/>
    <w:rsid w:val="005529A6"/>
    <w:rsid w:val="0056288D"/>
    <w:rsid w:val="005814DD"/>
    <w:rsid w:val="005831DA"/>
    <w:rsid w:val="005A2DBB"/>
    <w:rsid w:val="005B270F"/>
    <w:rsid w:val="005E0E52"/>
    <w:rsid w:val="005E502F"/>
    <w:rsid w:val="00623432"/>
    <w:rsid w:val="00636BB9"/>
    <w:rsid w:val="0065737A"/>
    <w:rsid w:val="006658AB"/>
    <w:rsid w:val="0067026A"/>
    <w:rsid w:val="0067471B"/>
    <w:rsid w:val="006A3BA2"/>
    <w:rsid w:val="006B362D"/>
    <w:rsid w:val="00745181"/>
    <w:rsid w:val="007474B5"/>
    <w:rsid w:val="007770EA"/>
    <w:rsid w:val="007A2101"/>
    <w:rsid w:val="007B2414"/>
    <w:rsid w:val="007B6728"/>
    <w:rsid w:val="00800E0E"/>
    <w:rsid w:val="0080586D"/>
    <w:rsid w:val="008A24C3"/>
    <w:rsid w:val="008A7929"/>
    <w:rsid w:val="008E1BFE"/>
    <w:rsid w:val="008E2988"/>
    <w:rsid w:val="0093269D"/>
    <w:rsid w:val="009471D8"/>
    <w:rsid w:val="009507FF"/>
    <w:rsid w:val="00967A76"/>
    <w:rsid w:val="009B3527"/>
    <w:rsid w:val="009B79FA"/>
    <w:rsid w:val="009F40F4"/>
    <w:rsid w:val="00A46AD3"/>
    <w:rsid w:val="00A50EE8"/>
    <w:rsid w:val="00A510A4"/>
    <w:rsid w:val="00A54B99"/>
    <w:rsid w:val="00A73CFB"/>
    <w:rsid w:val="00A74979"/>
    <w:rsid w:val="00A7622B"/>
    <w:rsid w:val="00A772B0"/>
    <w:rsid w:val="00A804CF"/>
    <w:rsid w:val="00A932AB"/>
    <w:rsid w:val="00A95B59"/>
    <w:rsid w:val="00AC1B0A"/>
    <w:rsid w:val="00AE071C"/>
    <w:rsid w:val="00B2003C"/>
    <w:rsid w:val="00B445AB"/>
    <w:rsid w:val="00BC323B"/>
    <w:rsid w:val="00C320D9"/>
    <w:rsid w:val="00CA6433"/>
    <w:rsid w:val="00CC7A56"/>
    <w:rsid w:val="00CE07E9"/>
    <w:rsid w:val="00CE4AF0"/>
    <w:rsid w:val="00CF1D0D"/>
    <w:rsid w:val="00D24045"/>
    <w:rsid w:val="00D508E9"/>
    <w:rsid w:val="00DD544A"/>
    <w:rsid w:val="00DD6368"/>
    <w:rsid w:val="00DE3C27"/>
    <w:rsid w:val="00DF0166"/>
    <w:rsid w:val="00E175F3"/>
    <w:rsid w:val="00E17B57"/>
    <w:rsid w:val="00E37CD1"/>
    <w:rsid w:val="00F34CA9"/>
    <w:rsid w:val="00F943A1"/>
    <w:rsid w:val="00FA1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5AF5B"/>
  <w15:chartTrackingRefBased/>
  <w15:docId w15:val="{A37087A1-6C4C-4909-B737-58C721C07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50EE8"/>
    <w:pPr>
      <w:spacing w:before="120" w:after="120" w:line="240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A50EE8"/>
    <w:pPr>
      <w:keepNext/>
      <w:keepLines/>
      <w:spacing w:before="240" w:after="0"/>
      <w:outlineLvl w:val="0"/>
    </w:pPr>
    <w:rPr>
      <w:rFonts w:eastAsiaTheme="majorEastAsia" w:cstheme="majorBidi"/>
      <w:b/>
      <w:sz w:val="24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50EE8"/>
    <w:rPr>
      <w:rFonts w:eastAsiaTheme="majorEastAsia" w:cstheme="majorBidi"/>
      <w:b/>
      <w:sz w:val="24"/>
      <w:szCs w:val="32"/>
    </w:rPr>
  </w:style>
  <w:style w:type="paragraph" w:customStyle="1" w:styleId="Default">
    <w:name w:val="Default"/>
    <w:rsid w:val="00A50EE8"/>
    <w:pPr>
      <w:autoSpaceDE w:val="0"/>
      <w:autoSpaceDN w:val="0"/>
      <w:adjustRightInd w:val="0"/>
      <w:spacing w:before="120"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Titolo">
    <w:name w:val="Title"/>
    <w:basedOn w:val="Normale"/>
    <w:link w:val="TitoloCarattere"/>
    <w:uiPriority w:val="99"/>
    <w:qFormat/>
    <w:rsid w:val="00A50EE8"/>
    <w:pPr>
      <w:framePr w:hSpace="180" w:wrap="around" w:vAnchor="page" w:hAnchor="margin" w:y="974"/>
      <w:spacing w:before="0" w:after="0"/>
      <w:contextualSpacing/>
    </w:pPr>
    <w:rPr>
      <w:rFonts w:asciiTheme="majorHAnsi" w:eastAsiaTheme="majorEastAsia" w:hAnsiTheme="majorHAnsi" w:cstheme="majorBidi"/>
      <w:b/>
      <w:color w:val="000000" w:themeColor="text1"/>
      <w:kern w:val="28"/>
      <w:sz w:val="80"/>
      <w:szCs w:val="80"/>
      <w:lang w:val="en-US"/>
    </w:rPr>
  </w:style>
  <w:style w:type="character" w:customStyle="1" w:styleId="TitoloCarattere">
    <w:name w:val="Titolo Carattere"/>
    <w:basedOn w:val="Carpredefinitoparagrafo"/>
    <w:link w:val="Titolo"/>
    <w:uiPriority w:val="99"/>
    <w:rsid w:val="00A50EE8"/>
    <w:rPr>
      <w:rFonts w:asciiTheme="majorHAnsi" w:eastAsiaTheme="majorEastAsia" w:hAnsiTheme="majorHAnsi" w:cstheme="majorBidi"/>
      <w:b/>
      <w:color w:val="000000" w:themeColor="text1"/>
      <w:kern w:val="28"/>
      <w:sz w:val="80"/>
      <w:szCs w:val="80"/>
      <w:lang w:val="en-US"/>
    </w:rPr>
  </w:style>
  <w:style w:type="paragraph" w:customStyle="1" w:styleId="WW-Testonormale">
    <w:name w:val="WW-Testo normale"/>
    <w:basedOn w:val="Normale"/>
    <w:rsid w:val="00A50EE8"/>
    <w:pPr>
      <w:suppressAutoHyphens/>
      <w:spacing w:before="0" w:after="0"/>
    </w:pPr>
    <w:rPr>
      <w:rFonts w:ascii="Courier New" w:eastAsia="Times New Roman" w:hAnsi="Courier New" w:cs="Times New Roman"/>
      <w:sz w:val="20"/>
      <w:szCs w:val="20"/>
      <w:lang w:eastAsia="it-IT" w:bidi="it-IT"/>
    </w:rPr>
  </w:style>
  <w:style w:type="paragraph" w:styleId="Intestazione">
    <w:name w:val="header"/>
    <w:basedOn w:val="Normale"/>
    <w:link w:val="IntestazioneCarattere"/>
    <w:uiPriority w:val="99"/>
    <w:unhideWhenUsed/>
    <w:rsid w:val="00AC1B0A"/>
    <w:pPr>
      <w:tabs>
        <w:tab w:val="center" w:pos="4819"/>
        <w:tab w:val="right" w:pos="9638"/>
      </w:tabs>
      <w:spacing w:before="0"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1B0A"/>
  </w:style>
  <w:style w:type="paragraph" w:styleId="Pidipagina">
    <w:name w:val="footer"/>
    <w:basedOn w:val="Normale"/>
    <w:link w:val="PidipaginaCarattere"/>
    <w:uiPriority w:val="99"/>
    <w:unhideWhenUsed/>
    <w:rsid w:val="00AC1B0A"/>
    <w:pPr>
      <w:tabs>
        <w:tab w:val="center" w:pos="4819"/>
        <w:tab w:val="right" w:pos="9638"/>
      </w:tabs>
      <w:spacing w:before="0"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1B0A"/>
  </w:style>
  <w:style w:type="table" w:styleId="Grigliatabella">
    <w:name w:val="Table Grid"/>
    <w:basedOn w:val="Tabellanormale"/>
    <w:uiPriority w:val="39"/>
    <w:rsid w:val="004028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E17B57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nhideWhenUsed/>
    <w:rsid w:val="00E175F3"/>
    <w:pPr>
      <w:spacing w:before="0" w:after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E175F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175F3"/>
    <w:rPr>
      <w:vertAlign w:val="superscript"/>
    </w:rPr>
  </w:style>
  <w:style w:type="character" w:customStyle="1" w:styleId="ui-provider">
    <w:name w:val="ui-provider"/>
    <w:basedOn w:val="Carpredefinitoparagrafo"/>
    <w:rsid w:val="005E0E52"/>
  </w:style>
  <w:style w:type="paragraph" w:styleId="NormaleWeb">
    <w:name w:val="Normal (Web)"/>
    <w:basedOn w:val="Normale"/>
    <w:uiPriority w:val="99"/>
    <w:semiHidden/>
    <w:unhideWhenUsed/>
    <w:rsid w:val="00636BB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aliases w:val="Paragrafo elenco 2,List-1"/>
    <w:basedOn w:val="Normale"/>
    <w:link w:val="ParagrafoelencoCarattere"/>
    <w:uiPriority w:val="34"/>
    <w:qFormat/>
    <w:rsid w:val="0067026A"/>
    <w:pPr>
      <w:ind w:left="720"/>
      <w:contextualSpacing/>
    </w:pPr>
  </w:style>
  <w:style w:type="character" w:customStyle="1" w:styleId="ParagrafoelencoCarattere">
    <w:name w:val="Paragrafo elenco Carattere"/>
    <w:aliases w:val="Paragrafo elenco 2 Carattere,List-1 Carattere"/>
    <w:basedOn w:val="Carpredefinitoparagrafo"/>
    <w:link w:val="Paragrafoelenco"/>
    <w:uiPriority w:val="34"/>
    <w:rsid w:val="00932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2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1176</Words>
  <Characters>6708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7869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Pontecorvo, Dario</dc:creator>
  <cp:keywords/>
  <dc:description/>
  <cp:lastModifiedBy>autore</cp:lastModifiedBy>
  <cp:revision>4</cp:revision>
  <dcterms:created xsi:type="dcterms:W3CDTF">2024-01-15T13:10:00Z</dcterms:created>
  <dcterms:modified xsi:type="dcterms:W3CDTF">2024-01-17T08:50:00Z</dcterms:modified>
</cp:coreProperties>
</file>