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181BF" w14:textId="77777777" w:rsidR="00530029" w:rsidRDefault="00530029" w:rsidP="00323560">
      <w:pPr>
        <w:spacing w:line="259" w:lineRule="auto"/>
        <w:jc w:val="center"/>
        <w:rPr>
          <w:rFonts w:asciiTheme="majorHAnsi" w:hAnsiTheme="majorHAnsi" w:cstheme="majorHAnsi"/>
          <w:color w:val="2E74B5" w:themeColor="accent5" w:themeShade="BF"/>
          <w:sz w:val="96"/>
        </w:rPr>
      </w:pPr>
      <w:bookmarkStart w:id="0" w:name="_Hlk146037402"/>
    </w:p>
    <w:p w14:paraId="43E7D87E" w14:textId="77777777" w:rsidR="00530029" w:rsidRDefault="00530029" w:rsidP="00323560">
      <w:pPr>
        <w:spacing w:line="259" w:lineRule="auto"/>
        <w:jc w:val="center"/>
        <w:rPr>
          <w:rFonts w:asciiTheme="majorHAnsi" w:hAnsiTheme="majorHAnsi" w:cstheme="majorHAnsi"/>
          <w:color w:val="2E74B5" w:themeColor="accent5" w:themeShade="BF"/>
          <w:sz w:val="96"/>
        </w:rPr>
      </w:pPr>
    </w:p>
    <w:p w14:paraId="41724567" w14:textId="56C7A3E8" w:rsidR="00323560" w:rsidRPr="00323560" w:rsidRDefault="00323560" w:rsidP="00323560">
      <w:pPr>
        <w:spacing w:line="259" w:lineRule="auto"/>
        <w:jc w:val="center"/>
        <w:rPr>
          <w:rFonts w:asciiTheme="majorHAnsi" w:hAnsiTheme="majorHAnsi" w:cstheme="majorHAnsi"/>
          <w:color w:val="2E74B5" w:themeColor="accent5" w:themeShade="BF"/>
          <w:sz w:val="56"/>
        </w:rPr>
      </w:pPr>
      <w:r w:rsidRPr="00323560">
        <w:rPr>
          <w:rFonts w:asciiTheme="majorHAnsi" w:hAnsiTheme="majorHAnsi" w:cstheme="majorHAnsi"/>
          <w:color w:val="2E74B5" w:themeColor="accent5" w:themeShade="BF"/>
          <w:sz w:val="96"/>
        </w:rPr>
        <w:t>A</w:t>
      </w:r>
      <w:r w:rsidRPr="00323560">
        <w:rPr>
          <w:rFonts w:asciiTheme="majorHAnsi" w:hAnsiTheme="majorHAnsi" w:cstheme="majorHAnsi"/>
          <w:color w:val="2E74B5" w:themeColor="accent5" w:themeShade="BF"/>
          <w:sz w:val="56"/>
        </w:rPr>
        <w:t xml:space="preserve">LLEGATO </w:t>
      </w:r>
      <w:r w:rsidR="00530029" w:rsidRPr="00530029">
        <w:rPr>
          <w:rFonts w:asciiTheme="majorHAnsi" w:hAnsiTheme="majorHAnsi" w:cstheme="majorHAnsi"/>
          <w:color w:val="2E74B5" w:themeColor="accent5" w:themeShade="BF"/>
          <w:sz w:val="76"/>
          <w:szCs w:val="76"/>
        </w:rPr>
        <w:t>5</w:t>
      </w:r>
    </w:p>
    <w:p w14:paraId="3AA2EC47" w14:textId="631DEA0B" w:rsidR="00596047" w:rsidRDefault="003C2AA6" w:rsidP="000240B6">
      <w:pPr>
        <w:jc w:val="center"/>
        <w:rPr>
          <w:rFonts w:asciiTheme="majorHAnsi" w:hAnsiTheme="majorHAnsi" w:cstheme="majorHAnsi"/>
          <w:b/>
          <w:bCs/>
        </w:rPr>
      </w:pPr>
      <w:r w:rsidRPr="003C2AA6">
        <w:rPr>
          <w:rFonts w:asciiTheme="majorHAnsi" w:hAnsiTheme="majorHAnsi" w:cstheme="majorHAnsi"/>
          <w:b/>
          <w:color w:val="2E74B5" w:themeColor="accent5" w:themeShade="BF"/>
          <w:sz w:val="52"/>
          <w:szCs w:val="52"/>
        </w:rPr>
        <w:t>Documento di sintesi dei criteri per il calcolo della verifica dell’anomalia dell’Offerta</w:t>
      </w:r>
    </w:p>
    <w:p w14:paraId="57261938" w14:textId="77777777" w:rsidR="00596047" w:rsidRDefault="00596047" w:rsidP="001779AB">
      <w:pPr>
        <w:jc w:val="both"/>
        <w:rPr>
          <w:rFonts w:asciiTheme="majorHAnsi" w:hAnsiTheme="majorHAnsi" w:cstheme="majorHAnsi"/>
          <w:b/>
          <w:bCs/>
        </w:rPr>
      </w:pPr>
    </w:p>
    <w:p w14:paraId="4E131B99" w14:textId="77777777" w:rsidR="00596047" w:rsidRDefault="00596047" w:rsidP="001779AB">
      <w:pPr>
        <w:jc w:val="both"/>
        <w:rPr>
          <w:rFonts w:asciiTheme="majorHAnsi" w:hAnsiTheme="majorHAnsi" w:cstheme="majorHAnsi"/>
          <w:b/>
          <w:bCs/>
        </w:rPr>
      </w:pPr>
    </w:p>
    <w:p w14:paraId="54DD302A" w14:textId="77777777" w:rsidR="00596047" w:rsidRDefault="00596047" w:rsidP="001779AB">
      <w:pPr>
        <w:jc w:val="both"/>
        <w:rPr>
          <w:rFonts w:asciiTheme="majorHAnsi" w:hAnsiTheme="majorHAnsi" w:cstheme="majorHAnsi"/>
          <w:b/>
          <w:bCs/>
        </w:rPr>
      </w:pPr>
    </w:p>
    <w:p w14:paraId="052242D4" w14:textId="77777777" w:rsidR="00596047" w:rsidRDefault="00596047" w:rsidP="001779AB">
      <w:pPr>
        <w:jc w:val="both"/>
        <w:rPr>
          <w:rFonts w:asciiTheme="majorHAnsi" w:hAnsiTheme="majorHAnsi" w:cstheme="majorHAnsi"/>
          <w:b/>
          <w:bCs/>
        </w:rPr>
      </w:pPr>
    </w:p>
    <w:p w14:paraId="25AE5253" w14:textId="77777777" w:rsidR="00596047" w:rsidRDefault="00596047" w:rsidP="001779AB">
      <w:pPr>
        <w:jc w:val="both"/>
        <w:rPr>
          <w:rFonts w:asciiTheme="majorHAnsi" w:hAnsiTheme="majorHAnsi" w:cstheme="majorHAnsi"/>
          <w:b/>
          <w:bCs/>
        </w:rPr>
      </w:pPr>
    </w:p>
    <w:p w14:paraId="2930D980" w14:textId="77777777" w:rsidR="00596047" w:rsidRDefault="00596047" w:rsidP="001779AB">
      <w:pPr>
        <w:jc w:val="both"/>
        <w:rPr>
          <w:rFonts w:asciiTheme="majorHAnsi" w:hAnsiTheme="majorHAnsi" w:cstheme="majorHAnsi"/>
          <w:b/>
          <w:bCs/>
        </w:rPr>
      </w:pPr>
    </w:p>
    <w:p w14:paraId="03FAF59C" w14:textId="77777777" w:rsidR="00596047" w:rsidRDefault="00596047" w:rsidP="001779AB">
      <w:pPr>
        <w:jc w:val="both"/>
        <w:rPr>
          <w:rFonts w:asciiTheme="majorHAnsi" w:hAnsiTheme="majorHAnsi" w:cstheme="majorHAnsi"/>
          <w:b/>
          <w:bCs/>
        </w:rPr>
      </w:pPr>
    </w:p>
    <w:p w14:paraId="06448B22" w14:textId="77777777" w:rsidR="00596047" w:rsidRDefault="00596047" w:rsidP="001779AB">
      <w:pPr>
        <w:jc w:val="both"/>
        <w:rPr>
          <w:rFonts w:asciiTheme="majorHAnsi" w:hAnsiTheme="majorHAnsi" w:cstheme="majorHAnsi"/>
          <w:b/>
          <w:bCs/>
        </w:rPr>
      </w:pPr>
    </w:p>
    <w:p w14:paraId="4FD3BD15" w14:textId="77777777" w:rsidR="00596047" w:rsidRDefault="00596047" w:rsidP="001779AB">
      <w:pPr>
        <w:jc w:val="both"/>
        <w:rPr>
          <w:rFonts w:asciiTheme="majorHAnsi" w:hAnsiTheme="majorHAnsi" w:cstheme="majorHAnsi"/>
          <w:b/>
          <w:bCs/>
        </w:rPr>
      </w:pPr>
    </w:p>
    <w:p w14:paraId="563FAAD8" w14:textId="77777777" w:rsidR="00596047" w:rsidRDefault="00596047" w:rsidP="001779AB">
      <w:pPr>
        <w:jc w:val="both"/>
        <w:rPr>
          <w:rFonts w:asciiTheme="majorHAnsi" w:hAnsiTheme="majorHAnsi" w:cstheme="majorHAnsi"/>
          <w:b/>
          <w:bCs/>
        </w:rPr>
      </w:pPr>
    </w:p>
    <w:p w14:paraId="43AA0874" w14:textId="77777777" w:rsidR="00596047" w:rsidRDefault="00596047" w:rsidP="001779AB">
      <w:pPr>
        <w:jc w:val="both"/>
        <w:rPr>
          <w:rFonts w:asciiTheme="majorHAnsi" w:hAnsiTheme="majorHAnsi" w:cstheme="majorHAnsi"/>
          <w:b/>
          <w:bCs/>
        </w:rPr>
      </w:pPr>
    </w:p>
    <w:p w14:paraId="0F9AC56A" w14:textId="77777777" w:rsidR="00596047" w:rsidRDefault="00596047" w:rsidP="001779AB">
      <w:pPr>
        <w:jc w:val="both"/>
        <w:rPr>
          <w:rFonts w:asciiTheme="majorHAnsi" w:hAnsiTheme="majorHAnsi" w:cstheme="majorHAnsi"/>
          <w:b/>
          <w:bCs/>
        </w:rPr>
      </w:pPr>
    </w:p>
    <w:p w14:paraId="32D355C5" w14:textId="77777777" w:rsidR="00596047" w:rsidRDefault="00596047" w:rsidP="001779AB">
      <w:pPr>
        <w:jc w:val="both"/>
        <w:rPr>
          <w:rFonts w:asciiTheme="majorHAnsi" w:hAnsiTheme="majorHAnsi" w:cstheme="majorHAnsi"/>
          <w:b/>
          <w:bCs/>
        </w:rPr>
      </w:pPr>
    </w:p>
    <w:p w14:paraId="1B3B739D" w14:textId="77777777" w:rsidR="00596047" w:rsidRDefault="00596047" w:rsidP="001779AB">
      <w:pPr>
        <w:jc w:val="both"/>
        <w:rPr>
          <w:rFonts w:asciiTheme="majorHAnsi" w:hAnsiTheme="majorHAnsi" w:cstheme="majorHAnsi"/>
          <w:b/>
          <w:bCs/>
        </w:rPr>
      </w:pPr>
    </w:p>
    <w:p w14:paraId="6AF84A92" w14:textId="77777777" w:rsidR="00596047" w:rsidRDefault="00596047" w:rsidP="001779AB">
      <w:pPr>
        <w:jc w:val="both"/>
        <w:rPr>
          <w:rFonts w:asciiTheme="majorHAnsi" w:hAnsiTheme="majorHAnsi" w:cstheme="majorHAnsi"/>
          <w:b/>
          <w:bCs/>
        </w:rPr>
      </w:pPr>
    </w:p>
    <w:p w14:paraId="217D6428" w14:textId="77777777" w:rsidR="00596047" w:rsidRDefault="00596047" w:rsidP="001779AB">
      <w:pPr>
        <w:jc w:val="both"/>
        <w:rPr>
          <w:rFonts w:asciiTheme="majorHAnsi" w:hAnsiTheme="majorHAnsi" w:cstheme="majorHAnsi"/>
          <w:b/>
          <w:bCs/>
        </w:rPr>
      </w:pPr>
    </w:p>
    <w:p w14:paraId="3600790F" w14:textId="77777777" w:rsidR="00596047" w:rsidRDefault="00596047" w:rsidP="001779AB">
      <w:pPr>
        <w:jc w:val="both"/>
        <w:rPr>
          <w:rFonts w:asciiTheme="majorHAnsi" w:hAnsiTheme="majorHAnsi" w:cstheme="majorHAnsi"/>
          <w:b/>
          <w:bCs/>
        </w:rPr>
      </w:pPr>
    </w:p>
    <w:p w14:paraId="30354A24" w14:textId="77777777" w:rsidR="00596047" w:rsidRDefault="00596047" w:rsidP="001779AB">
      <w:pPr>
        <w:jc w:val="both"/>
        <w:rPr>
          <w:rFonts w:asciiTheme="majorHAnsi" w:hAnsiTheme="majorHAnsi" w:cstheme="majorHAnsi"/>
          <w:b/>
          <w:bCs/>
        </w:rPr>
      </w:pPr>
    </w:p>
    <w:p w14:paraId="75DC0DB3" w14:textId="77777777" w:rsidR="001548E8" w:rsidRDefault="001548E8" w:rsidP="00FE3D96">
      <w:pPr>
        <w:spacing w:before="120" w:after="120" w:line="276" w:lineRule="auto"/>
        <w:jc w:val="both"/>
        <w:rPr>
          <w:rFonts w:cstheme="minorHAnsi"/>
          <w:b/>
          <w:bCs/>
          <w:sz w:val="24"/>
          <w:szCs w:val="24"/>
        </w:rPr>
      </w:pPr>
    </w:p>
    <w:p w14:paraId="439065CE" w14:textId="7FFD202A" w:rsidR="00722521" w:rsidRPr="00530029" w:rsidRDefault="00530029" w:rsidP="00FE3D96">
      <w:pPr>
        <w:spacing w:before="120" w:after="120" w:line="276" w:lineRule="auto"/>
        <w:jc w:val="both"/>
        <w:rPr>
          <w:rFonts w:cstheme="minorHAnsi"/>
          <w:b/>
          <w:bCs/>
          <w:sz w:val="24"/>
          <w:szCs w:val="24"/>
        </w:rPr>
      </w:pPr>
      <w:r w:rsidRPr="00530029">
        <w:rPr>
          <w:rFonts w:cstheme="minorHAnsi"/>
          <w:b/>
          <w:bCs/>
          <w:sz w:val="24"/>
          <w:szCs w:val="24"/>
        </w:rPr>
        <w:lastRenderedPageBreak/>
        <w:t>P</w:t>
      </w:r>
      <w:r w:rsidR="00722521" w:rsidRPr="00530029">
        <w:rPr>
          <w:rFonts w:cstheme="minorHAnsi"/>
          <w:b/>
          <w:bCs/>
          <w:sz w:val="24"/>
          <w:szCs w:val="24"/>
        </w:rPr>
        <w:t>REMESS</w:t>
      </w:r>
      <w:r>
        <w:rPr>
          <w:rFonts w:cstheme="minorHAnsi"/>
          <w:b/>
          <w:bCs/>
          <w:sz w:val="24"/>
          <w:szCs w:val="24"/>
        </w:rPr>
        <w:t>A</w:t>
      </w:r>
    </w:p>
    <w:p w14:paraId="6345024F" w14:textId="26EB761A" w:rsidR="00E401C8" w:rsidRPr="00530029" w:rsidRDefault="00722521" w:rsidP="00FE3D96">
      <w:pPr>
        <w:spacing w:before="120" w:after="120" w:line="276" w:lineRule="auto"/>
        <w:jc w:val="both"/>
        <w:rPr>
          <w:rFonts w:cstheme="minorHAnsi"/>
          <w:sz w:val="24"/>
          <w:szCs w:val="24"/>
        </w:rPr>
      </w:pPr>
      <w:r w:rsidRPr="00530029">
        <w:rPr>
          <w:rFonts w:cstheme="minorHAnsi"/>
          <w:sz w:val="24"/>
          <w:szCs w:val="24"/>
        </w:rPr>
        <w:t xml:space="preserve">In conformità alle previsioni di diritto europeo, fatto salvo il rispetto del contraddittorio procedimentale previsto all’articolo 110 </w:t>
      </w:r>
      <w:r w:rsidR="00530029">
        <w:rPr>
          <w:rFonts w:cstheme="minorHAnsi"/>
          <w:sz w:val="24"/>
          <w:szCs w:val="24"/>
        </w:rPr>
        <w:t>del Decreto Legislativo 31 marzo 2023, n. 36 (</w:t>
      </w:r>
      <w:r w:rsidR="00BD5B85">
        <w:rPr>
          <w:rFonts w:cstheme="minorHAnsi"/>
          <w:sz w:val="24"/>
          <w:szCs w:val="24"/>
        </w:rPr>
        <w:t>a seguire, anche «</w:t>
      </w:r>
      <w:r w:rsidRPr="000240B6">
        <w:rPr>
          <w:rFonts w:cstheme="minorHAnsi"/>
          <w:b/>
          <w:bCs/>
          <w:sz w:val="24"/>
          <w:szCs w:val="24"/>
        </w:rPr>
        <w:t>Codice</w:t>
      </w:r>
      <w:r w:rsidR="00BD5B85">
        <w:rPr>
          <w:rFonts w:cstheme="minorHAnsi"/>
          <w:sz w:val="24"/>
          <w:szCs w:val="24"/>
        </w:rPr>
        <w:t>»)</w:t>
      </w:r>
      <w:r w:rsidRPr="00530029">
        <w:rPr>
          <w:rFonts w:cstheme="minorHAnsi"/>
          <w:sz w:val="24"/>
          <w:szCs w:val="24"/>
        </w:rPr>
        <w:t xml:space="preserve">, </w:t>
      </w:r>
      <w:r w:rsidR="00D46C26">
        <w:rPr>
          <w:rFonts w:cstheme="minorHAnsi"/>
          <w:sz w:val="24"/>
          <w:szCs w:val="24"/>
        </w:rPr>
        <w:t xml:space="preserve">rispetto alle procedure “sopra-soglia”, </w:t>
      </w:r>
      <w:r w:rsidRPr="00530029">
        <w:rPr>
          <w:rFonts w:cstheme="minorHAnsi"/>
          <w:sz w:val="24"/>
          <w:szCs w:val="24"/>
        </w:rPr>
        <w:t xml:space="preserve">non è stato predeterminato </w:t>
      </w:r>
      <w:r w:rsidR="00D46C26">
        <w:rPr>
          <w:rFonts w:cstheme="minorHAnsi"/>
          <w:sz w:val="24"/>
          <w:szCs w:val="24"/>
        </w:rPr>
        <w:t>il</w:t>
      </w:r>
      <w:r w:rsidR="00D46C26" w:rsidRPr="00530029">
        <w:rPr>
          <w:rFonts w:cstheme="minorHAnsi"/>
          <w:sz w:val="24"/>
          <w:szCs w:val="24"/>
        </w:rPr>
        <w:t xml:space="preserve"> </w:t>
      </w:r>
      <w:r w:rsidRPr="00530029">
        <w:rPr>
          <w:rFonts w:cstheme="minorHAnsi"/>
          <w:sz w:val="24"/>
          <w:szCs w:val="24"/>
        </w:rPr>
        <w:t>criterio di definizione delle soglie di anomalia.</w:t>
      </w:r>
    </w:p>
    <w:p w14:paraId="3F6D9F7D" w14:textId="357BA139" w:rsidR="00E945D2" w:rsidRDefault="00D46C26" w:rsidP="00FE3D96">
      <w:pPr>
        <w:spacing w:before="120" w:after="120" w:line="276" w:lineRule="auto"/>
        <w:jc w:val="both"/>
        <w:rPr>
          <w:rFonts w:cstheme="minorHAnsi"/>
          <w:sz w:val="24"/>
          <w:szCs w:val="24"/>
        </w:rPr>
      </w:pPr>
      <w:r>
        <w:rPr>
          <w:rFonts w:cstheme="minorHAnsi"/>
          <w:sz w:val="24"/>
          <w:szCs w:val="24"/>
        </w:rPr>
        <w:t xml:space="preserve">Con riferimento agli appalti sotto-soglia e, nello specifico, in merito alle procedure negoziate senza bando di cui all’art. 50, comma 1, lett. c), d) ed e), del Codice, </w:t>
      </w:r>
      <w:r w:rsidR="00595E74">
        <w:rPr>
          <w:rFonts w:cstheme="minorHAnsi"/>
          <w:sz w:val="24"/>
          <w:szCs w:val="24"/>
        </w:rPr>
        <w:t xml:space="preserve">invece, </w:t>
      </w:r>
      <w:r w:rsidR="00B35BE9" w:rsidRPr="00530029">
        <w:rPr>
          <w:rFonts w:cstheme="minorHAnsi"/>
          <w:sz w:val="24"/>
          <w:szCs w:val="24"/>
        </w:rPr>
        <w:t xml:space="preserve"> le stazioni appaltanti</w:t>
      </w:r>
      <w:r>
        <w:rPr>
          <w:rFonts w:cstheme="minorHAnsi"/>
          <w:sz w:val="24"/>
          <w:szCs w:val="24"/>
        </w:rPr>
        <w:t xml:space="preserve"> (a seguire, anche «</w:t>
      </w:r>
      <w:r w:rsidRPr="000240B6">
        <w:rPr>
          <w:rFonts w:cstheme="minorHAnsi"/>
          <w:b/>
          <w:bCs/>
          <w:sz w:val="24"/>
          <w:szCs w:val="24"/>
        </w:rPr>
        <w:t>Stazioni Appaltanti</w:t>
      </w:r>
      <w:r>
        <w:rPr>
          <w:rFonts w:cstheme="minorHAnsi"/>
          <w:sz w:val="24"/>
          <w:szCs w:val="24"/>
        </w:rPr>
        <w:t>»),</w:t>
      </w:r>
      <w:r w:rsidR="00B35BE9" w:rsidRPr="00530029">
        <w:rPr>
          <w:rFonts w:cstheme="minorHAnsi"/>
          <w:sz w:val="24"/>
          <w:szCs w:val="24"/>
        </w:rPr>
        <w:t xml:space="preserve"> </w:t>
      </w:r>
      <w:r>
        <w:rPr>
          <w:rFonts w:cstheme="minorHAnsi"/>
          <w:sz w:val="24"/>
          <w:szCs w:val="24"/>
        </w:rPr>
        <w:t>a</w:t>
      </w:r>
      <w:r w:rsidRPr="00530029">
        <w:rPr>
          <w:rFonts w:cstheme="minorHAnsi"/>
          <w:sz w:val="24"/>
          <w:szCs w:val="24"/>
        </w:rPr>
        <w:t>i sensi dell’articolo 54 del Codice</w:t>
      </w:r>
      <w:r>
        <w:rPr>
          <w:rFonts w:cstheme="minorHAnsi"/>
          <w:sz w:val="24"/>
          <w:szCs w:val="24"/>
        </w:rPr>
        <w:t xml:space="preserve"> </w:t>
      </w:r>
      <w:r w:rsidRPr="00530029">
        <w:rPr>
          <w:rFonts w:cstheme="minorHAnsi"/>
          <w:sz w:val="24"/>
          <w:szCs w:val="24"/>
        </w:rPr>
        <w:t xml:space="preserve">nel caso di aggiudicazione con il criterio del prezzo più basso, di contratti di appalto di lavori o servizi che non presentano un interesse transfrontaliero certo, </w:t>
      </w:r>
      <w:r w:rsidR="00595E74">
        <w:rPr>
          <w:rFonts w:cstheme="minorHAnsi"/>
          <w:sz w:val="24"/>
          <w:szCs w:val="24"/>
        </w:rPr>
        <w:t>possono indicare</w:t>
      </w:r>
      <w:r w:rsidRPr="00530029">
        <w:rPr>
          <w:rFonts w:cstheme="minorHAnsi"/>
          <w:sz w:val="24"/>
          <w:szCs w:val="24"/>
        </w:rPr>
        <w:t xml:space="preserve"> negli atti di gara il metodo per l’individuazione delle offerte anomale scelto</w:t>
      </w:r>
      <w:r w:rsidR="000A12A6">
        <w:rPr>
          <w:rFonts w:cstheme="minorHAnsi"/>
          <w:sz w:val="24"/>
          <w:szCs w:val="24"/>
        </w:rPr>
        <w:t xml:space="preserve"> tra quelli descritti nell’Allegato II.2 al Codice</w:t>
      </w:r>
      <w:r w:rsidRPr="00530029">
        <w:rPr>
          <w:rFonts w:cstheme="minorHAnsi"/>
          <w:sz w:val="24"/>
          <w:szCs w:val="24"/>
        </w:rPr>
        <w:t xml:space="preserve">, ovvero </w:t>
      </w:r>
      <w:r w:rsidR="00595E74">
        <w:rPr>
          <w:rFonts w:cstheme="minorHAnsi"/>
          <w:sz w:val="24"/>
          <w:szCs w:val="24"/>
        </w:rPr>
        <w:t>selezionandolo</w:t>
      </w:r>
      <w:r w:rsidRPr="00530029">
        <w:rPr>
          <w:rFonts w:cstheme="minorHAnsi"/>
          <w:sz w:val="24"/>
          <w:szCs w:val="24"/>
        </w:rPr>
        <w:t xml:space="preserve"> in sede di valutazione delle offerte tramite sorteggio tra i metodi compatibili, fra quelli descritti </w:t>
      </w:r>
      <w:r w:rsidR="00595E74">
        <w:rPr>
          <w:rFonts w:cstheme="minorHAnsi"/>
          <w:sz w:val="24"/>
          <w:szCs w:val="24"/>
        </w:rPr>
        <w:t>nel medesimo Allegato</w:t>
      </w:r>
      <w:r w:rsidR="000A12A6">
        <w:rPr>
          <w:rFonts w:cstheme="minorHAnsi"/>
          <w:sz w:val="24"/>
          <w:szCs w:val="24"/>
        </w:rPr>
        <w:t xml:space="preserve">. In ogni caso, le Stazioni Appaltanti possono </w:t>
      </w:r>
      <w:r w:rsidR="000A12A6" w:rsidRPr="000240B6">
        <w:rPr>
          <w:rFonts w:cstheme="minorHAnsi"/>
          <w:sz w:val="24"/>
          <w:szCs w:val="24"/>
        </w:rPr>
        <w:t>valutare la congruità di ogni altra offerta che, in base ad elementi specifici, appaia anormalmente bassa</w:t>
      </w:r>
      <w:r w:rsidR="00B35BE9" w:rsidRPr="00530029">
        <w:rPr>
          <w:rStyle w:val="Rimandonotaapidipagina"/>
          <w:rFonts w:cstheme="minorHAnsi"/>
          <w:sz w:val="24"/>
          <w:szCs w:val="24"/>
        </w:rPr>
        <w:footnoteReference w:id="1"/>
      </w:r>
      <w:r w:rsidR="00E945D2" w:rsidRPr="00530029">
        <w:rPr>
          <w:rFonts w:cstheme="minorHAnsi"/>
          <w:sz w:val="24"/>
          <w:szCs w:val="24"/>
        </w:rPr>
        <w:t>.</w:t>
      </w:r>
      <w:r w:rsidR="00B35BE9" w:rsidRPr="00530029">
        <w:rPr>
          <w:rFonts w:cstheme="minorHAnsi"/>
          <w:sz w:val="24"/>
          <w:szCs w:val="24"/>
        </w:rPr>
        <w:t xml:space="preserve"> </w:t>
      </w:r>
    </w:p>
    <w:p w14:paraId="1162A8BC" w14:textId="7124A689" w:rsidR="00200374" w:rsidRPr="00530029" w:rsidRDefault="00200374" w:rsidP="00FE3D96">
      <w:pPr>
        <w:spacing w:before="120" w:after="120" w:line="276" w:lineRule="auto"/>
        <w:jc w:val="both"/>
        <w:rPr>
          <w:rFonts w:cstheme="minorHAnsi"/>
          <w:sz w:val="24"/>
          <w:szCs w:val="24"/>
        </w:rPr>
      </w:pPr>
      <w:r>
        <w:rPr>
          <w:rFonts w:cstheme="minorHAnsi"/>
          <w:sz w:val="24"/>
          <w:szCs w:val="24"/>
        </w:rPr>
        <w:t>Si specifica, infine, che ai sensi dell’art. 54, comma 1, secondo periodo, del Codice, quanto previsto per le procedure negoziate senza bando non trova applicazione per gli affidamenti diretti di cui all’art. 50, comma 1, lett. a) e b), del Codice.</w:t>
      </w:r>
    </w:p>
    <w:p w14:paraId="7F92B634" w14:textId="343DE487" w:rsidR="001A7839" w:rsidRDefault="00200374" w:rsidP="00FE3D96">
      <w:pPr>
        <w:spacing w:before="120" w:after="120" w:line="276" w:lineRule="auto"/>
        <w:jc w:val="both"/>
        <w:rPr>
          <w:rFonts w:eastAsia="Times New Roman" w:cstheme="minorHAnsi"/>
          <w:sz w:val="24"/>
          <w:szCs w:val="24"/>
          <w:lang w:eastAsia="it-IT"/>
        </w:rPr>
      </w:pPr>
      <w:r>
        <w:rPr>
          <w:rFonts w:eastAsia="Times New Roman" w:cstheme="minorHAnsi"/>
          <w:sz w:val="24"/>
          <w:szCs w:val="24"/>
          <w:lang w:eastAsia="it-IT"/>
        </w:rPr>
        <w:t xml:space="preserve">Al fine orientare l’attività delle Istituzioni Scolastiche nel corso </w:t>
      </w:r>
      <w:r w:rsidRPr="00514638">
        <w:rPr>
          <w:rFonts w:eastAsia="Times New Roman" w:cstheme="minorHAnsi"/>
          <w:sz w:val="24"/>
          <w:szCs w:val="24"/>
          <w:lang w:eastAsia="it-IT"/>
        </w:rPr>
        <w:t>dell’espletamento</w:t>
      </w:r>
      <w:r>
        <w:rPr>
          <w:rFonts w:eastAsia="Times New Roman" w:cstheme="minorHAnsi"/>
          <w:sz w:val="24"/>
          <w:szCs w:val="24"/>
          <w:lang w:eastAsia="it-IT"/>
        </w:rPr>
        <w:t xml:space="preserve"> delle procedure di affidamento</w:t>
      </w:r>
      <w:r w:rsidRPr="00514638">
        <w:rPr>
          <w:rFonts w:eastAsia="Times New Roman" w:cstheme="minorHAnsi"/>
          <w:sz w:val="24"/>
          <w:szCs w:val="24"/>
          <w:lang w:eastAsia="it-IT"/>
        </w:rPr>
        <w:t xml:space="preserve"> e d</w:t>
      </w:r>
      <w:r>
        <w:rPr>
          <w:rFonts w:eastAsia="Times New Roman" w:cstheme="minorHAnsi"/>
          <w:sz w:val="24"/>
          <w:szCs w:val="24"/>
          <w:lang w:eastAsia="it-IT"/>
        </w:rPr>
        <w:t>ell’</w:t>
      </w:r>
      <w:r w:rsidRPr="00514638">
        <w:rPr>
          <w:rFonts w:eastAsia="Times New Roman" w:cstheme="minorHAnsi"/>
          <w:sz w:val="24"/>
          <w:szCs w:val="24"/>
          <w:lang w:eastAsia="it-IT"/>
        </w:rPr>
        <w:t>esecuzione dei contratti relativi a beni e servizi</w:t>
      </w:r>
      <w:r>
        <w:rPr>
          <w:rFonts w:eastAsia="Times New Roman" w:cstheme="minorHAnsi"/>
          <w:sz w:val="24"/>
          <w:szCs w:val="24"/>
          <w:lang w:eastAsia="it-IT"/>
        </w:rPr>
        <w:t xml:space="preserve">, si riportano a seguire i possibili criteri per il calcolo della verifica dell’anomalia dell’offerta. </w:t>
      </w:r>
    </w:p>
    <w:p w14:paraId="1D74EB25" w14:textId="45A3A218" w:rsidR="00200374" w:rsidRDefault="00200374" w:rsidP="00FE3D96">
      <w:pPr>
        <w:spacing w:before="120" w:after="120" w:line="276" w:lineRule="auto"/>
        <w:jc w:val="both"/>
        <w:rPr>
          <w:rFonts w:eastAsia="Times New Roman" w:cstheme="minorHAnsi"/>
          <w:sz w:val="24"/>
          <w:szCs w:val="24"/>
          <w:lang w:eastAsia="it-IT"/>
        </w:rPr>
      </w:pPr>
      <w:r>
        <w:rPr>
          <w:rFonts w:eastAsia="Times New Roman" w:cstheme="minorHAnsi"/>
          <w:sz w:val="24"/>
          <w:szCs w:val="24"/>
          <w:lang w:eastAsia="it-IT"/>
        </w:rPr>
        <w:t xml:space="preserve">Il presente documento di sintesi è strutturato come segue: </w:t>
      </w:r>
    </w:p>
    <w:p w14:paraId="318E5B3F" w14:textId="681A050B" w:rsidR="00200374" w:rsidRDefault="00200374" w:rsidP="000240B6">
      <w:pPr>
        <w:pStyle w:val="Paragrafoelenco"/>
        <w:numPr>
          <w:ilvl w:val="0"/>
          <w:numId w:val="19"/>
        </w:numPr>
        <w:spacing w:before="120" w:after="120" w:line="276" w:lineRule="auto"/>
        <w:contextualSpacing w:val="0"/>
        <w:jc w:val="both"/>
        <w:rPr>
          <w:rFonts w:eastAsia="Times New Roman" w:cstheme="minorHAnsi"/>
          <w:sz w:val="24"/>
          <w:szCs w:val="24"/>
          <w:lang w:eastAsia="it-IT"/>
        </w:rPr>
      </w:pPr>
      <w:r>
        <w:rPr>
          <w:rFonts w:eastAsia="Times New Roman" w:cstheme="minorHAnsi"/>
          <w:sz w:val="24"/>
          <w:szCs w:val="24"/>
          <w:lang w:eastAsia="it-IT"/>
        </w:rPr>
        <w:t xml:space="preserve">Criterio del prezzo più basso: contenente i principali metodi per il calcolo dell’anomalia da utilizzare nel caso in cui il criterio di aggiudicazione dell’appalto sia il prezzo più basso sia con riferimento ai contratti sotto-soglia che ai contratti sopra la soglia comunitaria; </w:t>
      </w:r>
    </w:p>
    <w:p w14:paraId="49406CDC" w14:textId="4C8166F9" w:rsidR="00200374" w:rsidRPr="000240B6" w:rsidRDefault="00200374" w:rsidP="000240B6">
      <w:pPr>
        <w:pStyle w:val="Paragrafoelenco"/>
        <w:numPr>
          <w:ilvl w:val="0"/>
          <w:numId w:val="19"/>
        </w:numPr>
        <w:spacing w:before="120" w:after="120" w:line="276" w:lineRule="auto"/>
        <w:contextualSpacing w:val="0"/>
        <w:jc w:val="both"/>
        <w:rPr>
          <w:rFonts w:eastAsia="Times New Roman" w:cstheme="minorHAnsi"/>
          <w:sz w:val="24"/>
          <w:szCs w:val="24"/>
          <w:lang w:eastAsia="it-IT"/>
        </w:rPr>
      </w:pPr>
      <w:r>
        <w:rPr>
          <w:rFonts w:eastAsia="Times New Roman" w:cstheme="minorHAnsi"/>
          <w:sz w:val="24"/>
          <w:szCs w:val="24"/>
          <w:lang w:eastAsia="it-IT"/>
        </w:rPr>
        <w:t>Criterio dell’offerta economicamente più vantaggiosa individuata mediante il miglio</w:t>
      </w:r>
      <w:r w:rsidR="00FE3D96">
        <w:rPr>
          <w:rFonts w:eastAsia="Times New Roman" w:cstheme="minorHAnsi"/>
          <w:sz w:val="24"/>
          <w:szCs w:val="24"/>
          <w:lang w:eastAsia="it-IT"/>
        </w:rPr>
        <w:t xml:space="preserve">r </w:t>
      </w:r>
      <w:r>
        <w:rPr>
          <w:rFonts w:eastAsia="Times New Roman" w:cstheme="minorHAnsi"/>
          <w:sz w:val="24"/>
          <w:szCs w:val="24"/>
          <w:lang w:eastAsia="it-IT"/>
        </w:rPr>
        <w:t xml:space="preserve">rapporto qualità prezzo: contenente le indicazioni </w:t>
      </w:r>
      <w:r w:rsidR="00FE3D96">
        <w:rPr>
          <w:rFonts w:eastAsia="Times New Roman" w:cstheme="minorHAnsi"/>
          <w:sz w:val="24"/>
          <w:szCs w:val="24"/>
          <w:lang w:eastAsia="it-IT"/>
        </w:rPr>
        <w:t>in merito al calcolo dell’anomalia nel caso in cui il criterio di aggiudicazione dell’appalto</w:t>
      </w:r>
      <w:r w:rsidR="00FE3D96" w:rsidRPr="00FE3D96">
        <w:rPr>
          <w:rFonts w:eastAsia="Times New Roman" w:cstheme="minorHAnsi"/>
          <w:sz w:val="24"/>
          <w:szCs w:val="24"/>
          <w:lang w:eastAsia="it-IT"/>
        </w:rPr>
        <w:t xml:space="preserve"> </w:t>
      </w:r>
      <w:r w:rsidR="00FE3D96">
        <w:rPr>
          <w:rFonts w:eastAsia="Times New Roman" w:cstheme="minorHAnsi"/>
          <w:sz w:val="24"/>
          <w:szCs w:val="24"/>
          <w:lang w:eastAsia="it-IT"/>
        </w:rPr>
        <w:t xml:space="preserve">sia il criterio dell’offerta economicamente più vantaggiosa individuata mediante il miglior rapporto qualità prezzo. </w:t>
      </w:r>
    </w:p>
    <w:p w14:paraId="4FC33DF4" w14:textId="77777777" w:rsidR="00200374" w:rsidRPr="00530029" w:rsidRDefault="00200374" w:rsidP="00530029">
      <w:pPr>
        <w:spacing w:before="120" w:after="120" w:line="276" w:lineRule="auto"/>
        <w:jc w:val="both"/>
        <w:rPr>
          <w:rFonts w:cstheme="minorHAnsi"/>
          <w:sz w:val="24"/>
          <w:szCs w:val="24"/>
        </w:rPr>
      </w:pPr>
    </w:p>
    <w:p w14:paraId="025D2CE0" w14:textId="191520E7" w:rsidR="00F50D29" w:rsidRDefault="00F50D29" w:rsidP="00530029">
      <w:pPr>
        <w:spacing w:before="120" w:after="120" w:line="276" w:lineRule="auto"/>
        <w:jc w:val="both"/>
        <w:rPr>
          <w:rFonts w:cstheme="minorHAnsi"/>
          <w:sz w:val="24"/>
          <w:szCs w:val="24"/>
        </w:rPr>
      </w:pPr>
    </w:p>
    <w:p w14:paraId="5A9BF969" w14:textId="77777777" w:rsidR="00DF3E3A" w:rsidRPr="00530029" w:rsidRDefault="00DF3E3A" w:rsidP="00530029">
      <w:pPr>
        <w:spacing w:before="120" w:after="120" w:line="276" w:lineRule="auto"/>
        <w:jc w:val="both"/>
        <w:rPr>
          <w:rFonts w:cstheme="minorHAnsi"/>
          <w:sz w:val="24"/>
          <w:szCs w:val="24"/>
        </w:rPr>
      </w:pPr>
    </w:p>
    <w:p w14:paraId="500B7023" w14:textId="7EDDC690" w:rsidR="00F50D29" w:rsidRDefault="00F50D29" w:rsidP="00530029">
      <w:pPr>
        <w:spacing w:before="120" w:after="120" w:line="276" w:lineRule="auto"/>
        <w:jc w:val="both"/>
        <w:rPr>
          <w:rFonts w:cstheme="minorHAnsi"/>
          <w:sz w:val="24"/>
          <w:szCs w:val="24"/>
        </w:rPr>
      </w:pPr>
    </w:p>
    <w:p w14:paraId="1D178271" w14:textId="77777777" w:rsidR="000240B6" w:rsidRPr="00530029" w:rsidRDefault="000240B6" w:rsidP="00530029">
      <w:pPr>
        <w:spacing w:before="120" w:after="120" w:line="276" w:lineRule="auto"/>
        <w:jc w:val="both"/>
        <w:rPr>
          <w:rFonts w:cstheme="minorHAnsi"/>
          <w:sz w:val="24"/>
          <w:szCs w:val="24"/>
        </w:rPr>
      </w:pPr>
    </w:p>
    <w:p w14:paraId="0EE0D05E" w14:textId="77777777" w:rsidR="000240B6" w:rsidRDefault="000240B6" w:rsidP="000240B6">
      <w:pPr>
        <w:pStyle w:val="Paragrafoelenco"/>
        <w:spacing w:before="120" w:after="120" w:line="276" w:lineRule="auto"/>
        <w:ind w:left="0"/>
        <w:jc w:val="both"/>
        <w:rPr>
          <w:rFonts w:cstheme="minorHAnsi"/>
          <w:b/>
          <w:bCs/>
          <w:sz w:val="24"/>
          <w:szCs w:val="24"/>
        </w:rPr>
      </w:pPr>
    </w:p>
    <w:p w14:paraId="25FA0FC6" w14:textId="29F3F3E8" w:rsidR="002B01B6" w:rsidRPr="00530029" w:rsidRDefault="00EE4D4D" w:rsidP="00530029">
      <w:pPr>
        <w:pStyle w:val="Paragrafoelenco"/>
        <w:numPr>
          <w:ilvl w:val="0"/>
          <w:numId w:val="17"/>
        </w:numPr>
        <w:spacing w:before="120" w:after="120" w:line="276" w:lineRule="auto"/>
        <w:ind w:left="0" w:hanging="426"/>
        <w:jc w:val="both"/>
        <w:rPr>
          <w:rFonts w:cstheme="minorHAnsi"/>
          <w:b/>
          <w:bCs/>
          <w:sz w:val="24"/>
          <w:szCs w:val="24"/>
        </w:rPr>
      </w:pPr>
      <w:r w:rsidRPr="00530029">
        <w:rPr>
          <w:rFonts w:cstheme="minorHAnsi"/>
          <w:b/>
          <w:bCs/>
          <w:sz w:val="24"/>
          <w:szCs w:val="24"/>
        </w:rPr>
        <w:lastRenderedPageBreak/>
        <w:t xml:space="preserve">CRITERIO DEL PREZZO </w:t>
      </w:r>
      <w:r w:rsidR="002E1A07" w:rsidRPr="00530029">
        <w:rPr>
          <w:rFonts w:cstheme="minorHAnsi"/>
          <w:b/>
          <w:bCs/>
          <w:sz w:val="24"/>
          <w:szCs w:val="24"/>
        </w:rPr>
        <w:t xml:space="preserve">PIÙ </w:t>
      </w:r>
      <w:r w:rsidRPr="00530029">
        <w:rPr>
          <w:rFonts w:cstheme="minorHAnsi"/>
          <w:b/>
          <w:bCs/>
          <w:sz w:val="24"/>
          <w:szCs w:val="24"/>
        </w:rPr>
        <w:t>BASSO</w:t>
      </w:r>
    </w:p>
    <w:p w14:paraId="53DF3762" w14:textId="36C1396F" w:rsidR="00FD1E3C" w:rsidRPr="000240B6" w:rsidRDefault="00FD1E3C" w:rsidP="000240B6">
      <w:pPr>
        <w:pStyle w:val="Paragrafoelenco"/>
        <w:numPr>
          <w:ilvl w:val="0"/>
          <w:numId w:val="21"/>
        </w:numPr>
        <w:spacing w:before="120" w:after="120" w:line="276" w:lineRule="auto"/>
        <w:ind w:left="0" w:hanging="426"/>
        <w:jc w:val="both"/>
        <w:rPr>
          <w:rFonts w:cstheme="minorHAnsi"/>
          <w:i/>
          <w:iCs/>
          <w:sz w:val="24"/>
          <w:szCs w:val="24"/>
          <w:u w:val="single"/>
        </w:rPr>
      </w:pPr>
      <w:r w:rsidRPr="000240B6">
        <w:rPr>
          <w:rFonts w:cstheme="minorHAnsi"/>
          <w:i/>
          <w:iCs/>
          <w:sz w:val="24"/>
          <w:szCs w:val="24"/>
          <w:u w:val="single"/>
        </w:rPr>
        <w:t>CONTRATTI DI IMPORTO INFERIORE ALLE SOGLIE DI RILEVANZA EUROPEA</w:t>
      </w:r>
    </w:p>
    <w:p w14:paraId="09946C45" w14:textId="39FD5204" w:rsidR="00D11264" w:rsidRPr="00530029" w:rsidRDefault="00D11264" w:rsidP="00530029">
      <w:pPr>
        <w:spacing w:before="120" w:after="120" w:line="276" w:lineRule="auto"/>
        <w:jc w:val="both"/>
        <w:rPr>
          <w:rFonts w:cstheme="minorHAnsi"/>
          <w:sz w:val="24"/>
          <w:szCs w:val="24"/>
        </w:rPr>
      </w:pPr>
      <w:r w:rsidRPr="00530029">
        <w:rPr>
          <w:rFonts w:cstheme="minorHAnsi"/>
          <w:sz w:val="24"/>
          <w:szCs w:val="24"/>
        </w:rPr>
        <w:t xml:space="preserve">Qualora il </w:t>
      </w:r>
      <w:r w:rsidRPr="00530029">
        <w:rPr>
          <w:rFonts w:cstheme="minorHAnsi"/>
          <w:b/>
          <w:bCs/>
          <w:sz w:val="24"/>
          <w:szCs w:val="24"/>
        </w:rPr>
        <w:t>numero delle offerte ammesse sia pari o superiore a cinque</w:t>
      </w:r>
      <w:r w:rsidRPr="00530029">
        <w:rPr>
          <w:rFonts w:cstheme="minorHAnsi"/>
          <w:sz w:val="24"/>
          <w:szCs w:val="24"/>
        </w:rPr>
        <w:t xml:space="preserve">, le </w:t>
      </w:r>
      <w:r w:rsidR="00F656C0">
        <w:rPr>
          <w:rFonts w:cstheme="minorHAnsi"/>
          <w:sz w:val="24"/>
          <w:szCs w:val="24"/>
        </w:rPr>
        <w:t>S</w:t>
      </w:r>
      <w:r w:rsidR="00F656C0" w:rsidRPr="00530029">
        <w:rPr>
          <w:rFonts w:cstheme="minorHAnsi"/>
          <w:sz w:val="24"/>
          <w:szCs w:val="24"/>
        </w:rPr>
        <w:t xml:space="preserve">tazioni </w:t>
      </w:r>
      <w:r w:rsidR="00F656C0">
        <w:rPr>
          <w:rFonts w:cstheme="minorHAnsi"/>
          <w:sz w:val="24"/>
          <w:szCs w:val="24"/>
        </w:rPr>
        <w:t>A</w:t>
      </w:r>
      <w:r w:rsidR="00F656C0" w:rsidRPr="00530029">
        <w:rPr>
          <w:rFonts w:cstheme="minorHAnsi"/>
          <w:sz w:val="24"/>
          <w:szCs w:val="24"/>
        </w:rPr>
        <w:t xml:space="preserve">ppaltanti </w:t>
      </w:r>
      <w:r w:rsidR="009D5D31" w:rsidRPr="00530029">
        <w:rPr>
          <w:rFonts w:cstheme="minorHAnsi"/>
          <w:sz w:val="24"/>
          <w:szCs w:val="24"/>
        </w:rPr>
        <w:t>valutano la congruità delle offerte che risultino anomale secondo i criteri alternativi di seguito rappresentati</w:t>
      </w:r>
      <w:r w:rsidR="00452873" w:rsidRPr="00530029">
        <w:rPr>
          <w:rFonts w:cstheme="minorHAnsi"/>
          <w:sz w:val="24"/>
          <w:szCs w:val="24"/>
        </w:rPr>
        <w:t>.</w:t>
      </w:r>
    </w:p>
    <w:bookmarkEnd w:id="0"/>
    <w:p w14:paraId="7369C11B" w14:textId="3525E2F3" w:rsidR="007E3DB5" w:rsidRPr="000240B6" w:rsidRDefault="007E3DB5" w:rsidP="000240B6">
      <w:pPr>
        <w:pStyle w:val="Paragrafoelenco"/>
        <w:numPr>
          <w:ilvl w:val="0"/>
          <w:numId w:val="24"/>
        </w:numPr>
        <w:spacing w:before="120" w:after="120" w:line="276" w:lineRule="auto"/>
        <w:ind w:left="284" w:hanging="284"/>
        <w:jc w:val="both"/>
        <w:rPr>
          <w:rFonts w:cstheme="minorHAnsi"/>
          <w:b/>
          <w:bCs/>
          <w:sz w:val="24"/>
          <w:szCs w:val="24"/>
          <w:u w:val="single"/>
        </w:rPr>
      </w:pPr>
      <w:r w:rsidRPr="000240B6">
        <w:rPr>
          <w:rFonts w:cstheme="minorHAnsi"/>
          <w:b/>
          <w:bCs/>
          <w:sz w:val="24"/>
          <w:szCs w:val="24"/>
          <w:u w:val="single"/>
        </w:rPr>
        <w:t>ME</w:t>
      </w:r>
      <w:r w:rsidR="001C4D7A" w:rsidRPr="000240B6">
        <w:rPr>
          <w:rFonts w:cstheme="minorHAnsi"/>
          <w:b/>
          <w:bCs/>
          <w:sz w:val="24"/>
          <w:szCs w:val="24"/>
          <w:u w:val="single"/>
        </w:rPr>
        <w:t>TODO A</w:t>
      </w:r>
    </w:p>
    <w:p w14:paraId="650F782D" w14:textId="1B2EF495" w:rsidR="004E2932" w:rsidRPr="00530029" w:rsidRDefault="00B3651C" w:rsidP="000240B6">
      <w:pPr>
        <w:spacing w:before="120" w:after="120" w:line="276" w:lineRule="auto"/>
        <w:ind w:left="284"/>
        <w:jc w:val="both"/>
        <w:rPr>
          <w:rFonts w:cstheme="minorHAnsi"/>
          <w:sz w:val="24"/>
          <w:szCs w:val="24"/>
        </w:rPr>
      </w:pPr>
      <w:r w:rsidRPr="00530029">
        <w:rPr>
          <w:rFonts w:cstheme="minorHAnsi"/>
          <w:sz w:val="24"/>
          <w:szCs w:val="24"/>
        </w:rPr>
        <w:t>S</w:t>
      </w:r>
      <w:r w:rsidR="00427A6F" w:rsidRPr="00530029">
        <w:rPr>
          <w:rFonts w:cstheme="minorHAnsi"/>
          <w:sz w:val="24"/>
          <w:szCs w:val="24"/>
        </w:rPr>
        <w:t>i illustra</w:t>
      </w:r>
      <w:r w:rsidRPr="00530029">
        <w:rPr>
          <w:rFonts w:cstheme="minorHAnsi"/>
          <w:sz w:val="24"/>
          <w:szCs w:val="24"/>
        </w:rPr>
        <w:t>no</w:t>
      </w:r>
      <w:r w:rsidR="00427A6F" w:rsidRPr="00530029">
        <w:rPr>
          <w:rFonts w:cstheme="minorHAnsi"/>
          <w:sz w:val="24"/>
          <w:szCs w:val="24"/>
        </w:rPr>
        <w:t xml:space="preserve"> </w:t>
      </w:r>
      <w:r w:rsidRPr="00530029">
        <w:rPr>
          <w:rFonts w:cstheme="minorHAnsi"/>
          <w:sz w:val="24"/>
          <w:szCs w:val="24"/>
        </w:rPr>
        <w:t>nel seguito</w:t>
      </w:r>
      <w:r w:rsidR="005D54E2" w:rsidRPr="00530029">
        <w:rPr>
          <w:rFonts w:cstheme="minorHAnsi"/>
          <w:sz w:val="24"/>
          <w:szCs w:val="24"/>
        </w:rPr>
        <w:t xml:space="preserve"> </w:t>
      </w:r>
      <w:r w:rsidR="00827105" w:rsidRPr="00530029">
        <w:rPr>
          <w:rFonts w:cstheme="minorHAnsi"/>
          <w:sz w:val="24"/>
          <w:szCs w:val="24"/>
        </w:rPr>
        <w:t>l</w:t>
      </w:r>
      <w:r w:rsidR="001F2B23" w:rsidRPr="00530029">
        <w:rPr>
          <w:rFonts w:cstheme="minorHAnsi"/>
          <w:sz w:val="24"/>
          <w:szCs w:val="24"/>
        </w:rPr>
        <w:t>e</w:t>
      </w:r>
      <w:r w:rsidR="00827105" w:rsidRPr="00530029">
        <w:rPr>
          <w:rFonts w:cstheme="minorHAnsi"/>
          <w:sz w:val="24"/>
          <w:szCs w:val="24"/>
        </w:rPr>
        <w:t xml:space="preserve"> modalità di calcolo </w:t>
      </w:r>
      <w:r w:rsidR="006F6B50" w:rsidRPr="00530029">
        <w:rPr>
          <w:rFonts w:cstheme="minorHAnsi"/>
          <w:sz w:val="24"/>
          <w:szCs w:val="24"/>
        </w:rPr>
        <w:t xml:space="preserve">di cui al </w:t>
      </w:r>
      <w:r w:rsidR="00A41A46" w:rsidRPr="00530029">
        <w:rPr>
          <w:rFonts w:cstheme="minorHAnsi"/>
          <w:sz w:val="24"/>
          <w:szCs w:val="24"/>
        </w:rPr>
        <w:t xml:space="preserve">METODO A nel caso in cui le </w:t>
      </w:r>
      <w:r w:rsidR="00A41A46" w:rsidRPr="00530029">
        <w:rPr>
          <w:rFonts w:cstheme="minorHAnsi"/>
          <w:b/>
          <w:bCs/>
          <w:sz w:val="24"/>
          <w:szCs w:val="24"/>
        </w:rPr>
        <w:t>offerte ammesse siano in numero pari o superiore a 15</w:t>
      </w:r>
      <w:r w:rsidR="007756D9" w:rsidRPr="00530029">
        <w:rPr>
          <w:rFonts w:cstheme="minorHAnsi"/>
          <w:sz w:val="24"/>
          <w:szCs w:val="24"/>
        </w:rPr>
        <w:t>.</w:t>
      </w:r>
    </w:p>
    <w:p w14:paraId="6EE4283E" w14:textId="770D5917" w:rsidR="003503E0" w:rsidRPr="00530029" w:rsidRDefault="00163923" w:rsidP="000240B6">
      <w:pPr>
        <w:pStyle w:val="Paragrafoelenco"/>
        <w:numPr>
          <w:ilvl w:val="0"/>
          <w:numId w:val="1"/>
        </w:numPr>
        <w:spacing w:before="120" w:after="120" w:line="276" w:lineRule="auto"/>
        <w:ind w:left="709" w:hanging="425"/>
        <w:contextualSpacing w:val="0"/>
        <w:jc w:val="both"/>
        <w:rPr>
          <w:rFonts w:cstheme="minorHAnsi"/>
          <w:sz w:val="24"/>
          <w:szCs w:val="24"/>
        </w:rPr>
      </w:pPr>
      <w:bookmarkStart w:id="1" w:name="_Hlk146017469"/>
      <w:r w:rsidRPr="00530029">
        <w:rPr>
          <w:rFonts w:cstheme="minorHAnsi"/>
          <w:sz w:val="24"/>
          <w:szCs w:val="24"/>
        </w:rPr>
        <w:t>C</w:t>
      </w:r>
      <w:r w:rsidR="003503E0" w:rsidRPr="00530029">
        <w:rPr>
          <w:rFonts w:cstheme="minorHAnsi"/>
          <w:sz w:val="24"/>
          <w:szCs w:val="24"/>
        </w:rPr>
        <w:t xml:space="preserve">alcolo della somma e della media aritmetica dei ribassi percentuali di tutte le offerte ammesse, con esclusione del 10 </w:t>
      </w:r>
      <w:r w:rsidR="00DF70B3" w:rsidRPr="00530029">
        <w:rPr>
          <w:rFonts w:cstheme="minorHAnsi"/>
          <w:sz w:val="24"/>
          <w:szCs w:val="24"/>
        </w:rPr>
        <w:t>%</w:t>
      </w:r>
      <w:r w:rsidR="003503E0" w:rsidRPr="00530029">
        <w:rPr>
          <w:rFonts w:cstheme="minorHAnsi"/>
          <w:sz w:val="24"/>
          <w:szCs w:val="24"/>
        </w:rPr>
        <w:t>, arrotondato all'unità superiore, rispettivamente delle offerte di maggior ribasso e quelle di minor ribasso; le offerte aventi un uguale valore di ribasso sono prese in considerazione distintamente nei loro singoli valori</w:t>
      </w:r>
      <w:r w:rsidR="00D87AF3" w:rsidRPr="00530029">
        <w:rPr>
          <w:rFonts w:cstheme="minorHAnsi"/>
          <w:sz w:val="24"/>
          <w:szCs w:val="24"/>
        </w:rPr>
        <w:t>. Q</w:t>
      </w:r>
      <w:r w:rsidR="003503E0" w:rsidRPr="00530029">
        <w:rPr>
          <w:rFonts w:cstheme="minorHAnsi"/>
          <w:sz w:val="24"/>
          <w:szCs w:val="24"/>
        </w:rPr>
        <w:t xml:space="preserve">ualora, nell’effettuare il calcolo del 10 </w:t>
      </w:r>
      <w:r w:rsidR="00DF70B3" w:rsidRPr="00530029">
        <w:rPr>
          <w:rFonts w:cstheme="minorHAnsi"/>
          <w:sz w:val="24"/>
          <w:szCs w:val="24"/>
        </w:rPr>
        <w:t>%</w:t>
      </w:r>
      <w:r w:rsidR="003503E0" w:rsidRPr="00530029">
        <w:rPr>
          <w:rFonts w:cstheme="minorHAnsi"/>
          <w:sz w:val="24"/>
          <w:szCs w:val="24"/>
        </w:rPr>
        <w:t>, siano presenti una o più offerte di eguale valore rispetto alle offerte da accantonare, dette offerte sono altresì da accantonare</w:t>
      </w:r>
      <w:r w:rsidR="00D87AF3" w:rsidRPr="00530029">
        <w:rPr>
          <w:rFonts w:cstheme="minorHAnsi"/>
          <w:sz w:val="24"/>
          <w:szCs w:val="24"/>
        </w:rPr>
        <w:t>;</w:t>
      </w:r>
    </w:p>
    <w:p w14:paraId="24D3C17A" w14:textId="017B2D4A" w:rsidR="00215208" w:rsidRPr="00530029" w:rsidRDefault="00D87AF3" w:rsidP="000240B6">
      <w:pPr>
        <w:pStyle w:val="Paragrafoelenco"/>
        <w:numPr>
          <w:ilvl w:val="0"/>
          <w:numId w:val="1"/>
        </w:numPr>
        <w:spacing w:before="120" w:after="120" w:line="276" w:lineRule="auto"/>
        <w:ind w:left="709" w:hanging="425"/>
        <w:contextualSpacing w:val="0"/>
        <w:jc w:val="both"/>
        <w:rPr>
          <w:rFonts w:cstheme="minorHAnsi"/>
          <w:sz w:val="24"/>
          <w:szCs w:val="24"/>
        </w:rPr>
      </w:pPr>
      <w:r w:rsidRPr="00530029">
        <w:rPr>
          <w:rFonts w:cstheme="minorHAnsi"/>
          <w:sz w:val="24"/>
          <w:szCs w:val="24"/>
        </w:rPr>
        <w:t>c</w:t>
      </w:r>
      <w:r w:rsidR="005F224C" w:rsidRPr="00530029">
        <w:rPr>
          <w:rFonts w:cstheme="minorHAnsi"/>
          <w:sz w:val="24"/>
          <w:szCs w:val="24"/>
        </w:rPr>
        <w:t>alcolo dello scarto medio aritmetico dei ribassi percentuali che superano la media calcolata ai sensi della lettera a), esclusi quelli accantonati di cui alla lettera a);</w:t>
      </w:r>
    </w:p>
    <w:p w14:paraId="139B8E9D" w14:textId="2DF82C99" w:rsidR="002120CC" w:rsidRPr="00530029" w:rsidRDefault="002120CC" w:rsidP="00530029">
      <w:pPr>
        <w:pStyle w:val="Paragrafoelenco"/>
        <w:spacing w:before="120" w:after="120" w:line="276" w:lineRule="auto"/>
        <w:contextualSpacing w:val="0"/>
        <w:jc w:val="both"/>
        <w:rPr>
          <w:rFonts w:cstheme="minorHAnsi"/>
          <w:b/>
          <w:bCs/>
          <w:i/>
          <w:iCs/>
          <w:sz w:val="18"/>
          <w:szCs w:val="18"/>
        </w:rPr>
      </w:pPr>
      <w:r w:rsidRPr="00530029">
        <w:rPr>
          <w:rFonts w:cstheme="minorHAnsi"/>
          <w:b/>
          <w:bCs/>
          <w:i/>
          <w:iCs/>
          <w:sz w:val="24"/>
          <w:szCs w:val="24"/>
        </w:rPr>
        <w:t xml:space="preserve">Tabella </w:t>
      </w:r>
      <w:r w:rsidR="00215208" w:rsidRPr="00530029">
        <w:rPr>
          <w:rFonts w:cstheme="minorHAnsi"/>
          <w:b/>
          <w:bCs/>
          <w:i/>
          <w:iCs/>
          <w:sz w:val="24"/>
          <w:szCs w:val="24"/>
        </w:rPr>
        <w:t>1</w:t>
      </w:r>
    </w:p>
    <w:tbl>
      <w:tblPr>
        <w:tblW w:w="5405" w:type="dxa"/>
        <w:jc w:val="center"/>
        <w:tblCellMar>
          <w:left w:w="70" w:type="dxa"/>
          <w:right w:w="70" w:type="dxa"/>
        </w:tblCellMar>
        <w:tblLook w:val="04A0" w:firstRow="1" w:lastRow="0" w:firstColumn="1" w:lastColumn="0" w:noHBand="0" w:noVBand="1"/>
      </w:tblPr>
      <w:tblGrid>
        <w:gridCol w:w="773"/>
        <w:gridCol w:w="938"/>
        <w:gridCol w:w="148"/>
        <w:gridCol w:w="738"/>
        <w:gridCol w:w="880"/>
        <w:gridCol w:w="139"/>
        <w:gridCol w:w="25"/>
        <w:gridCol w:w="195"/>
        <w:gridCol w:w="778"/>
        <w:gridCol w:w="632"/>
        <w:gridCol w:w="159"/>
      </w:tblGrid>
      <w:tr w:rsidR="00C16CB4" w:rsidRPr="00530029" w14:paraId="4C23FC00" w14:textId="77777777" w:rsidTr="00E62EBB">
        <w:trPr>
          <w:gridAfter w:val="1"/>
          <w:wAfter w:w="159" w:type="dxa"/>
          <w:trHeight w:val="250"/>
          <w:jc w:val="center"/>
        </w:trPr>
        <w:tc>
          <w:tcPr>
            <w:tcW w:w="3616" w:type="dxa"/>
            <w:gridSpan w:val="6"/>
            <w:tcBorders>
              <w:top w:val="nil"/>
              <w:left w:val="nil"/>
              <w:bottom w:val="nil"/>
            </w:tcBorders>
            <w:shd w:val="clear" w:color="auto" w:fill="auto"/>
            <w:noWrap/>
            <w:vAlign w:val="bottom"/>
            <w:hideMark/>
          </w:tcPr>
          <w:bookmarkEnd w:id="1"/>
          <w:p w14:paraId="7ECBEB43" w14:textId="77777777" w:rsidR="001034B8" w:rsidRPr="00530029" w:rsidRDefault="001034B8" w:rsidP="001034B8">
            <w:pPr>
              <w:spacing w:after="0" w:line="240" w:lineRule="auto"/>
              <w:jc w:val="center"/>
              <w:rPr>
                <w:rFonts w:eastAsia="Times New Roman" w:cstheme="minorHAnsi"/>
                <w:i/>
                <w:iCs/>
                <w:color w:val="000000"/>
                <w:sz w:val="18"/>
                <w:szCs w:val="18"/>
                <w:lang w:eastAsia="it-IT"/>
              </w:rPr>
            </w:pPr>
            <w:r w:rsidRPr="00530029">
              <w:rPr>
                <w:rFonts w:eastAsia="Times New Roman" w:cstheme="minorHAnsi"/>
                <w:i/>
                <w:iCs/>
                <w:color w:val="000000"/>
                <w:sz w:val="18"/>
                <w:szCs w:val="18"/>
                <w:lang w:eastAsia="it-IT"/>
              </w:rPr>
              <w:t>a)</w:t>
            </w:r>
          </w:p>
        </w:tc>
        <w:tc>
          <w:tcPr>
            <w:tcW w:w="1630" w:type="dxa"/>
            <w:gridSpan w:val="4"/>
            <w:tcBorders>
              <w:top w:val="nil"/>
              <w:bottom w:val="nil"/>
              <w:right w:val="nil"/>
            </w:tcBorders>
            <w:shd w:val="clear" w:color="auto" w:fill="auto"/>
            <w:noWrap/>
            <w:vAlign w:val="bottom"/>
            <w:hideMark/>
          </w:tcPr>
          <w:p w14:paraId="700D5FE0" w14:textId="77777777" w:rsidR="001034B8" w:rsidRPr="00530029" w:rsidRDefault="001034B8" w:rsidP="001034B8">
            <w:pPr>
              <w:spacing w:after="0" w:line="240" w:lineRule="auto"/>
              <w:jc w:val="center"/>
              <w:rPr>
                <w:rFonts w:eastAsia="Times New Roman" w:cstheme="minorHAnsi"/>
                <w:i/>
                <w:iCs/>
                <w:color w:val="000000"/>
                <w:sz w:val="18"/>
                <w:szCs w:val="18"/>
                <w:lang w:eastAsia="it-IT"/>
              </w:rPr>
            </w:pPr>
            <w:r w:rsidRPr="00530029">
              <w:rPr>
                <w:rFonts w:eastAsia="Times New Roman" w:cstheme="minorHAnsi"/>
                <w:i/>
                <w:iCs/>
                <w:color w:val="000000"/>
                <w:sz w:val="18"/>
                <w:szCs w:val="18"/>
                <w:lang w:eastAsia="it-IT"/>
              </w:rPr>
              <w:t>b)</w:t>
            </w:r>
          </w:p>
        </w:tc>
      </w:tr>
      <w:tr w:rsidR="00E62EBB" w:rsidRPr="00530029" w14:paraId="44E9FA00" w14:textId="77777777" w:rsidTr="00E62EBB">
        <w:trPr>
          <w:trHeight w:val="250"/>
          <w:jc w:val="center"/>
        </w:trPr>
        <w:tc>
          <w:tcPr>
            <w:tcW w:w="773" w:type="dxa"/>
            <w:tcBorders>
              <w:top w:val="nil"/>
              <w:left w:val="nil"/>
              <w:bottom w:val="nil"/>
              <w:right w:val="nil"/>
            </w:tcBorders>
            <w:shd w:val="clear" w:color="auto" w:fill="auto"/>
            <w:noWrap/>
            <w:vAlign w:val="bottom"/>
            <w:hideMark/>
          </w:tcPr>
          <w:p w14:paraId="1B876DEF" w14:textId="77777777" w:rsidR="001034B8" w:rsidRPr="00530029" w:rsidRDefault="001034B8" w:rsidP="001034B8">
            <w:pPr>
              <w:spacing w:after="0" w:line="240" w:lineRule="auto"/>
              <w:jc w:val="center"/>
              <w:rPr>
                <w:rFonts w:eastAsia="Times New Roman" w:cstheme="minorHAnsi"/>
                <w:i/>
                <w:iCs/>
                <w:color w:val="000000"/>
                <w:sz w:val="18"/>
                <w:szCs w:val="18"/>
                <w:lang w:eastAsia="it-IT"/>
              </w:rPr>
            </w:pPr>
          </w:p>
        </w:tc>
        <w:tc>
          <w:tcPr>
            <w:tcW w:w="938" w:type="dxa"/>
            <w:tcBorders>
              <w:top w:val="nil"/>
              <w:left w:val="nil"/>
              <w:bottom w:val="nil"/>
              <w:right w:val="nil"/>
            </w:tcBorders>
            <w:shd w:val="clear" w:color="auto" w:fill="auto"/>
            <w:noWrap/>
            <w:vAlign w:val="bottom"/>
            <w:hideMark/>
          </w:tcPr>
          <w:p w14:paraId="35912CD0" w14:textId="77777777" w:rsidR="001034B8" w:rsidRPr="00530029" w:rsidRDefault="001034B8" w:rsidP="001034B8">
            <w:pPr>
              <w:spacing w:after="0" w:line="240" w:lineRule="auto"/>
              <w:rPr>
                <w:rFonts w:eastAsia="Times New Roman" w:cstheme="minorHAnsi"/>
                <w:sz w:val="18"/>
                <w:szCs w:val="18"/>
                <w:lang w:eastAsia="it-IT"/>
              </w:rPr>
            </w:pPr>
          </w:p>
        </w:tc>
        <w:tc>
          <w:tcPr>
            <w:tcW w:w="148" w:type="dxa"/>
            <w:tcBorders>
              <w:top w:val="nil"/>
              <w:left w:val="nil"/>
              <w:bottom w:val="nil"/>
              <w:right w:val="nil"/>
            </w:tcBorders>
            <w:shd w:val="clear" w:color="auto" w:fill="auto"/>
            <w:noWrap/>
            <w:vAlign w:val="bottom"/>
            <w:hideMark/>
          </w:tcPr>
          <w:p w14:paraId="1D70E9E0" w14:textId="77777777" w:rsidR="001034B8" w:rsidRPr="00530029" w:rsidRDefault="001034B8" w:rsidP="001034B8">
            <w:pPr>
              <w:spacing w:after="0" w:line="240" w:lineRule="auto"/>
              <w:rPr>
                <w:rFonts w:eastAsia="Times New Roman" w:cstheme="minorHAnsi"/>
                <w:sz w:val="18"/>
                <w:szCs w:val="18"/>
                <w:lang w:eastAsia="it-IT"/>
              </w:rPr>
            </w:pPr>
          </w:p>
        </w:tc>
        <w:tc>
          <w:tcPr>
            <w:tcW w:w="738" w:type="dxa"/>
            <w:tcBorders>
              <w:top w:val="nil"/>
              <w:left w:val="nil"/>
              <w:bottom w:val="nil"/>
              <w:right w:val="nil"/>
            </w:tcBorders>
            <w:shd w:val="clear" w:color="auto" w:fill="auto"/>
            <w:noWrap/>
            <w:vAlign w:val="bottom"/>
            <w:hideMark/>
          </w:tcPr>
          <w:p w14:paraId="0FC906B4" w14:textId="77777777" w:rsidR="001034B8" w:rsidRPr="00530029" w:rsidRDefault="001034B8" w:rsidP="001034B8">
            <w:pPr>
              <w:spacing w:after="0" w:line="240" w:lineRule="auto"/>
              <w:rPr>
                <w:rFonts w:eastAsia="Times New Roman" w:cstheme="minorHAnsi"/>
                <w:sz w:val="18"/>
                <w:szCs w:val="18"/>
                <w:lang w:eastAsia="it-IT"/>
              </w:rPr>
            </w:pPr>
          </w:p>
        </w:tc>
        <w:tc>
          <w:tcPr>
            <w:tcW w:w="880" w:type="dxa"/>
            <w:tcBorders>
              <w:top w:val="nil"/>
              <w:left w:val="nil"/>
              <w:bottom w:val="nil"/>
              <w:right w:val="nil"/>
            </w:tcBorders>
            <w:shd w:val="clear" w:color="auto" w:fill="auto"/>
            <w:noWrap/>
            <w:vAlign w:val="bottom"/>
            <w:hideMark/>
          </w:tcPr>
          <w:p w14:paraId="2E12D014" w14:textId="77777777" w:rsidR="001034B8" w:rsidRPr="00530029" w:rsidRDefault="001034B8" w:rsidP="001034B8">
            <w:pPr>
              <w:spacing w:after="0" w:line="240" w:lineRule="auto"/>
              <w:rPr>
                <w:rFonts w:eastAsia="Times New Roman" w:cstheme="minorHAnsi"/>
                <w:sz w:val="18"/>
                <w:szCs w:val="18"/>
                <w:lang w:eastAsia="it-IT"/>
              </w:rPr>
            </w:pPr>
          </w:p>
        </w:tc>
        <w:tc>
          <w:tcPr>
            <w:tcW w:w="164" w:type="dxa"/>
            <w:gridSpan w:val="2"/>
            <w:tcBorders>
              <w:top w:val="nil"/>
              <w:left w:val="nil"/>
              <w:bottom w:val="nil"/>
              <w:right w:val="nil"/>
            </w:tcBorders>
            <w:shd w:val="clear" w:color="auto" w:fill="auto"/>
            <w:noWrap/>
            <w:vAlign w:val="bottom"/>
            <w:hideMark/>
          </w:tcPr>
          <w:p w14:paraId="22C55AF2" w14:textId="77777777" w:rsidR="001034B8" w:rsidRPr="00530029" w:rsidRDefault="001034B8" w:rsidP="001034B8">
            <w:pPr>
              <w:spacing w:after="0" w:line="240" w:lineRule="auto"/>
              <w:rPr>
                <w:rFonts w:eastAsia="Times New Roman" w:cstheme="minorHAnsi"/>
                <w:sz w:val="18"/>
                <w:szCs w:val="18"/>
                <w:lang w:eastAsia="it-IT"/>
              </w:rPr>
            </w:pPr>
          </w:p>
        </w:tc>
        <w:tc>
          <w:tcPr>
            <w:tcW w:w="195" w:type="dxa"/>
            <w:tcBorders>
              <w:top w:val="nil"/>
              <w:left w:val="single" w:sz="4" w:space="0" w:color="auto"/>
              <w:bottom w:val="nil"/>
              <w:right w:val="nil"/>
            </w:tcBorders>
            <w:shd w:val="clear" w:color="auto" w:fill="auto"/>
            <w:noWrap/>
            <w:vAlign w:val="bottom"/>
            <w:hideMark/>
          </w:tcPr>
          <w:p w14:paraId="083EBAED" w14:textId="77777777" w:rsidR="001034B8" w:rsidRPr="00530029" w:rsidRDefault="001034B8" w:rsidP="001034B8">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778" w:type="dxa"/>
            <w:tcBorders>
              <w:top w:val="nil"/>
              <w:left w:val="nil"/>
              <w:bottom w:val="nil"/>
              <w:right w:val="nil"/>
            </w:tcBorders>
            <w:shd w:val="clear" w:color="auto" w:fill="auto"/>
            <w:noWrap/>
            <w:vAlign w:val="bottom"/>
            <w:hideMark/>
          </w:tcPr>
          <w:p w14:paraId="6995D4BC" w14:textId="77777777" w:rsidR="001034B8" w:rsidRPr="00530029" w:rsidRDefault="001034B8" w:rsidP="001034B8">
            <w:pPr>
              <w:spacing w:after="0" w:line="240" w:lineRule="auto"/>
              <w:rPr>
                <w:rFonts w:eastAsia="Times New Roman" w:cstheme="minorHAnsi"/>
                <w:color w:val="000000"/>
                <w:sz w:val="18"/>
                <w:szCs w:val="18"/>
                <w:lang w:eastAsia="it-IT"/>
              </w:rPr>
            </w:pPr>
          </w:p>
        </w:tc>
        <w:tc>
          <w:tcPr>
            <w:tcW w:w="791" w:type="dxa"/>
            <w:gridSpan w:val="2"/>
            <w:tcBorders>
              <w:top w:val="nil"/>
              <w:left w:val="nil"/>
              <w:bottom w:val="nil"/>
              <w:right w:val="nil"/>
            </w:tcBorders>
            <w:shd w:val="clear" w:color="auto" w:fill="auto"/>
            <w:noWrap/>
            <w:vAlign w:val="bottom"/>
            <w:hideMark/>
          </w:tcPr>
          <w:p w14:paraId="340F2ACE" w14:textId="77777777" w:rsidR="001034B8" w:rsidRPr="00530029" w:rsidRDefault="001034B8" w:rsidP="001034B8">
            <w:pPr>
              <w:spacing w:after="0" w:line="240" w:lineRule="auto"/>
              <w:rPr>
                <w:rFonts w:eastAsia="Times New Roman" w:cstheme="minorHAnsi"/>
                <w:sz w:val="18"/>
                <w:szCs w:val="18"/>
                <w:lang w:eastAsia="it-IT"/>
              </w:rPr>
            </w:pPr>
          </w:p>
        </w:tc>
      </w:tr>
      <w:tr w:rsidR="00E62EBB" w:rsidRPr="00530029" w14:paraId="5A7731D0" w14:textId="77777777" w:rsidTr="00E62EBB">
        <w:trPr>
          <w:trHeight w:val="250"/>
          <w:jc w:val="center"/>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28B1AF" w14:textId="77777777" w:rsidR="001034B8" w:rsidRPr="00530029" w:rsidRDefault="001034B8" w:rsidP="001034B8">
            <w:pPr>
              <w:spacing w:after="0" w:line="240" w:lineRule="auto"/>
              <w:jc w:val="right"/>
              <w:rPr>
                <w:rFonts w:eastAsia="Times New Roman" w:cstheme="minorHAnsi"/>
                <w:color w:val="FF0000"/>
                <w:sz w:val="18"/>
                <w:szCs w:val="18"/>
                <w:lang w:eastAsia="it-IT"/>
              </w:rPr>
            </w:pPr>
            <w:r w:rsidRPr="00530029">
              <w:rPr>
                <w:rFonts w:eastAsia="Times New Roman" w:cstheme="minorHAnsi"/>
                <w:strike/>
                <w:color w:val="FF0000"/>
                <w:sz w:val="18"/>
                <w:szCs w:val="18"/>
                <w:lang w:eastAsia="it-IT"/>
              </w:rPr>
              <w:t xml:space="preserve">1 </w:t>
            </w:r>
          </w:p>
        </w:tc>
        <w:tc>
          <w:tcPr>
            <w:tcW w:w="938" w:type="dxa"/>
            <w:tcBorders>
              <w:top w:val="single" w:sz="4" w:space="0" w:color="auto"/>
              <w:left w:val="nil"/>
              <w:bottom w:val="single" w:sz="4" w:space="0" w:color="auto"/>
              <w:right w:val="single" w:sz="4" w:space="0" w:color="auto"/>
            </w:tcBorders>
            <w:shd w:val="clear" w:color="auto" w:fill="auto"/>
            <w:noWrap/>
            <w:vAlign w:val="bottom"/>
            <w:hideMark/>
          </w:tcPr>
          <w:p w14:paraId="37355EB1" w14:textId="77777777" w:rsidR="001034B8" w:rsidRPr="00530029" w:rsidRDefault="001034B8" w:rsidP="001034B8">
            <w:pPr>
              <w:spacing w:after="0" w:line="240" w:lineRule="auto"/>
              <w:jc w:val="right"/>
              <w:rPr>
                <w:rFonts w:eastAsia="Times New Roman" w:cstheme="minorHAnsi"/>
                <w:color w:val="FF0000"/>
                <w:sz w:val="18"/>
                <w:szCs w:val="18"/>
                <w:lang w:eastAsia="it-IT"/>
              </w:rPr>
            </w:pPr>
            <w:r w:rsidRPr="00530029">
              <w:rPr>
                <w:rFonts w:eastAsia="Times New Roman" w:cstheme="minorHAnsi"/>
                <w:strike/>
                <w:color w:val="FF0000"/>
                <w:sz w:val="18"/>
                <w:szCs w:val="18"/>
                <w:lang w:eastAsia="it-IT"/>
              </w:rPr>
              <w:t xml:space="preserve">10,011 </w:t>
            </w:r>
          </w:p>
        </w:tc>
        <w:tc>
          <w:tcPr>
            <w:tcW w:w="148" w:type="dxa"/>
            <w:tcBorders>
              <w:top w:val="nil"/>
              <w:left w:val="nil"/>
              <w:bottom w:val="nil"/>
              <w:right w:val="nil"/>
            </w:tcBorders>
            <w:shd w:val="clear" w:color="auto" w:fill="auto"/>
            <w:noWrap/>
            <w:vAlign w:val="bottom"/>
            <w:hideMark/>
          </w:tcPr>
          <w:p w14:paraId="157E7728" w14:textId="77777777"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738" w:type="dxa"/>
            <w:tcBorders>
              <w:top w:val="nil"/>
              <w:left w:val="nil"/>
              <w:bottom w:val="nil"/>
              <w:right w:val="nil"/>
            </w:tcBorders>
            <w:shd w:val="clear" w:color="auto" w:fill="auto"/>
            <w:noWrap/>
            <w:vAlign w:val="bottom"/>
            <w:hideMark/>
          </w:tcPr>
          <w:p w14:paraId="2FADFE9E" w14:textId="77777777" w:rsidR="001034B8" w:rsidRPr="00530029" w:rsidRDefault="001034B8" w:rsidP="001034B8">
            <w:pPr>
              <w:spacing w:after="0" w:line="240" w:lineRule="auto"/>
              <w:rPr>
                <w:rFonts w:eastAsia="Times New Roman" w:cstheme="minorHAnsi"/>
                <w:sz w:val="18"/>
                <w:szCs w:val="18"/>
                <w:lang w:eastAsia="it-IT"/>
              </w:rPr>
            </w:pPr>
          </w:p>
        </w:tc>
        <w:tc>
          <w:tcPr>
            <w:tcW w:w="880" w:type="dxa"/>
            <w:tcBorders>
              <w:top w:val="nil"/>
              <w:left w:val="nil"/>
              <w:bottom w:val="nil"/>
              <w:right w:val="nil"/>
            </w:tcBorders>
            <w:shd w:val="clear" w:color="auto" w:fill="auto"/>
            <w:noWrap/>
            <w:vAlign w:val="bottom"/>
            <w:hideMark/>
          </w:tcPr>
          <w:p w14:paraId="410DB902" w14:textId="77777777" w:rsidR="001034B8" w:rsidRPr="00530029" w:rsidRDefault="001034B8" w:rsidP="001034B8">
            <w:pPr>
              <w:spacing w:after="0" w:line="240" w:lineRule="auto"/>
              <w:rPr>
                <w:rFonts w:eastAsia="Times New Roman" w:cstheme="minorHAnsi"/>
                <w:sz w:val="18"/>
                <w:szCs w:val="18"/>
                <w:lang w:eastAsia="it-IT"/>
              </w:rPr>
            </w:pPr>
          </w:p>
        </w:tc>
        <w:tc>
          <w:tcPr>
            <w:tcW w:w="164" w:type="dxa"/>
            <w:gridSpan w:val="2"/>
            <w:tcBorders>
              <w:top w:val="nil"/>
              <w:left w:val="nil"/>
              <w:bottom w:val="nil"/>
              <w:right w:val="nil"/>
            </w:tcBorders>
            <w:shd w:val="clear" w:color="auto" w:fill="auto"/>
            <w:noWrap/>
            <w:vAlign w:val="bottom"/>
            <w:hideMark/>
          </w:tcPr>
          <w:p w14:paraId="467F51C0" w14:textId="77777777" w:rsidR="001034B8" w:rsidRPr="00530029" w:rsidRDefault="001034B8" w:rsidP="001034B8">
            <w:pPr>
              <w:spacing w:after="0" w:line="240" w:lineRule="auto"/>
              <w:rPr>
                <w:rFonts w:eastAsia="Times New Roman" w:cstheme="minorHAnsi"/>
                <w:sz w:val="18"/>
                <w:szCs w:val="18"/>
                <w:lang w:eastAsia="it-IT"/>
              </w:rPr>
            </w:pPr>
          </w:p>
        </w:tc>
        <w:tc>
          <w:tcPr>
            <w:tcW w:w="195" w:type="dxa"/>
            <w:tcBorders>
              <w:top w:val="nil"/>
              <w:left w:val="single" w:sz="4" w:space="0" w:color="auto"/>
              <w:bottom w:val="nil"/>
              <w:right w:val="nil"/>
            </w:tcBorders>
            <w:shd w:val="clear" w:color="auto" w:fill="auto"/>
            <w:noWrap/>
            <w:vAlign w:val="bottom"/>
            <w:hideMark/>
          </w:tcPr>
          <w:p w14:paraId="1D700C4B" w14:textId="77777777" w:rsidR="001034B8" w:rsidRPr="00530029" w:rsidRDefault="001034B8" w:rsidP="001034B8">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778" w:type="dxa"/>
            <w:tcBorders>
              <w:top w:val="nil"/>
              <w:left w:val="nil"/>
              <w:bottom w:val="nil"/>
              <w:right w:val="nil"/>
            </w:tcBorders>
            <w:shd w:val="clear" w:color="auto" w:fill="auto"/>
            <w:noWrap/>
            <w:vAlign w:val="bottom"/>
            <w:hideMark/>
          </w:tcPr>
          <w:p w14:paraId="6E944F0B" w14:textId="77777777" w:rsidR="001034B8" w:rsidRPr="00530029" w:rsidRDefault="001034B8" w:rsidP="001034B8">
            <w:pPr>
              <w:spacing w:after="0" w:line="240" w:lineRule="auto"/>
              <w:rPr>
                <w:rFonts w:eastAsia="Times New Roman" w:cstheme="minorHAnsi"/>
                <w:color w:val="000000"/>
                <w:sz w:val="18"/>
                <w:szCs w:val="18"/>
                <w:lang w:eastAsia="it-IT"/>
              </w:rPr>
            </w:pPr>
          </w:p>
        </w:tc>
        <w:tc>
          <w:tcPr>
            <w:tcW w:w="791" w:type="dxa"/>
            <w:gridSpan w:val="2"/>
            <w:tcBorders>
              <w:top w:val="nil"/>
              <w:left w:val="nil"/>
              <w:bottom w:val="nil"/>
              <w:right w:val="nil"/>
            </w:tcBorders>
            <w:shd w:val="clear" w:color="auto" w:fill="auto"/>
            <w:noWrap/>
            <w:vAlign w:val="bottom"/>
            <w:hideMark/>
          </w:tcPr>
          <w:p w14:paraId="4AA942DF" w14:textId="77777777" w:rsidR="001034B8" w:rsidRPr="00530029" w:rsidRDefault="001034B8" w:rsidP="001034B8">
            <w:pPr>
              <w:spacing w:after="0" w:line="240" w:lineRule="auto"/>
              <w:rPr>
                <w:rFonts w:eastAsia="Times New Roman" w:cstheme="minorHAnsi"/>
                <w:sz w:val="18"/>
                <w:szCs w:val="18"/>
                <w:lang w:eastAsia="it-IT"/>
              </w:rPr>
            </w:pPr>
          </w:p>
        </w:tc>
      </w:tr>
      <w:tr w:rsidR="00E62EBB" w:rsidRPr="00530029" w14:paraId="2ABE812F" w14:textId="77777777" w:rsidTr="00E62EBB">
        <w:trPr>
          <w:trHeight w:val="250"/>
          <w:jc w:val="center"/>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BED95F" w14:textId="77777777" w:rsidR="001034B8" w:rsidRPr="00530029" w:rsidRDefault="001034B8" w:rsidP="001034B8">
            <w:pPr>
              <w:spacing w:after="0" w:line="240" w:lineRule="auto"/>
              <w:jc w:val="right"/>
              <w:rPr>
                <w:rFonts w:eastAsia="Times New Roman" w:cstheme="minorHAnsi"/>
                <w:color w:val="FF0000"/>
                <w:sz w:val="18"/>
                <w:szCs w:val="18"/>
                <w:lang w:eastAsia="it-IT"/>
              </w:rPr>
            </w:pPr>
            <w:r w:rsidRPr="00530029">
              <w:rPr>
                <w:rFonts w:eastAsia="Times New Roman" w:cstheme="minorHAnsi"/>
                <w:strike/>
                <w:color w:val="FF0000"/>
                <w:sz w:val="18"/>
                <w:szCs w:val="18"/>
                <w:lang w:eastAsia="it-IT"/>
              </w:rPr>
              <w:t xml:space="preserve">2 </w:t>
            </w:r>
          </w:p>
        </w:tc>
        <w:tc>
          <w:tcPr>
            <w:tcW w:w="938" w:type="dxa"/>
            <w:tcBorders>
              <w:top w:val="nil"/>
              <w:left w:val="nil"/>
              <w:bottom w:val="single" w:sz="4" w:space="0" w:color="auto"/>
              <w:right w:val="single" w:sz="4" w:space="0" w:color="auto"/>
            </w:tcBorders>
            <w:shd w:val="clear" w:color="auto" w:fill="auto"/>
            <w:noWrap/>
            <w:vAlign w:val="bottom"/>
            <w:hideMark/>
          </w:tcPr>
          <w:p w14:paraId="19A5DF11" w14:textId="77777777" w:rsidR="001034B8" w:rsidRPr="00530029" w:rsidRDefault="001034B8" w:rsidP="001034B8">
            <w:pPr>
              <w:spacing w:after="0" w:line="240" w:lineRule="auto"/>
              <w:jc w:val="right"/>
              <w:rPr>
                <w:rFonts w:eastAsia="Times New Roman" w:cstheme="minorHAnsi"/>
                <w:color w:val="FF0000"/>
                <w:sz w:val="18"/>
                <w:szCs w:val="18"/>
                <w:lang w:eastAsia="it-IT"/>
              </w:rPr>
            </w:pPr>
            <w:r w:rsidRPr="00530029">
              <w:rPr>
                <w:rFonts w:eastAsia="Times New Roman" w:cstheme="minorHAnsi"/>
                <w:strike/>
                <w:color w:val="FF0000"/>
                <w:sz w:val="18"/>
                <w:szCs w:val="18"/>
                <w:lang w:eastAsia="it-IT"/>
              </w:rPr>
              <w:t xml:space="preserve">11,110 </w:t>
            </w:r>
          </w:p>
        </w:tc>
        <w:tc>
          <w:tcPr>
            <w:tcW w:w="148" w:type="dxa"/>
            <w:tcBorders>
              <w:top w:val="nil"/>
              <w:left w:val="nil"/>
              <w:bottom w:val="nil"/>
              <w:right w:val="nil"/>
            </w:tcBorders>
            <w:shd w:val="clear" w:color="auto" w:fill="auto"/>
            <w:noWrap/>
            <w:vAlign w:val="bottom"/>
            <w:hideMark/>
          </w:tcPr>
          <w:p w14:paraId="0B6B4295" w14:textId="77777777"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738" w:type="dxa"/>
            <w:tcBorders>
              <w:top w:val="nil"/>
              <w:left w:val="nil"/>
              <w:bottom w:val="nil"/>
              <w:right w:val="nil"/>
            </w:tcBorders>
            <w:shd w:val="clear" w:color="auto" w:fill="auto"/>
            <w:noWrap/>
            <w:vAlign w:val="bottom"/>
            <w:hideMark/>
          </w:tcPr>
          <w:p w14:paraId="2CE5F278" w14:textId="77777777" w:rsidR="001034B8" w:rsidRPr="00530029" w:rsidRDefault="001034B8" w:rsidP="001034B8">
            <w:pPr>
              <w:spacing w:after="0" w:line="240" w:lineRule="auto"/>
              <w:rPr>
                <w:rFonts w:eastAsia="Times New Roman" w:cstheme="minorHAnsi"/>
                <w:sz w:val="18"/>
                <w:szCs w:val="18"/>
                <w:lang w:eastAsia="it-IT"/>
              </w:rPr>
            </w:pPr>
          </w:p>
        </w:tc>
        <w:tc>
          <w:tcPr>
            <w:tcW w:w="880" w:type="dxa"/>
            <w:tcBorders>
              <w:top w:val="nil"/>
              <w:left w:val="nil"/>
              <w:bottom w:val="nil"/>
              <w:right w:val="nil"/>
            </w:tcBorders>
            <w:shd w:val="clear" w:color="auto" w:fill="auto"/>
            <w:noWrap/>
            <w:vAlign w:val="bottom"/>
            <w:hideMark/>
          </w:tcPr>
          <w:p w14:paraId="0C93C31C" w14:textId="77777777" w:rsidR="001034B8" w:rsidRPr="00530029" w:rsidRDefault="001034B8" w:rsidP="001034B8">
            <w:pPr>
              <w:spacing w:after="0" w:line="240" w:lineRule="auto"/>
              <w:rPr>
                <w:rFonts w:eastAsia="Times New Roman" w:cstheme="minorHAnsi"/>
                <w:sz w:val="18"/>
                <w:szCs w:val="18"/>
                <w:lang w:eastAsia="it-IT"/>
              </w:rPr>
            </w:pPr>
          </w:p>
        </w:tc>
        <w:tc>
          <w:tcPr>
            <w:tcW w:w="164" w:type="dxa"/>
            <w:gridSpan w:val="2"/>
            <w:tcBorders>
              <w:top w:val="nil"/>
              <w:left w:val="nil"/>
              <w:bottom w:val="nil"/>
              <w:right w:val="nil"/>
            </w:tcBorders>
            <w:shd w:val="clear" w:color="auto" w:fill="auto"/>
            <w:noWrap/>
            <w:vAlign w:val="bottom"/>
            <w:hideMark/>
          </w:tcPr>
          <w:p w14:paraId="1BB0B0A9" w14:textId="77777777" w:rsidR="001034B8" w:rsidRPr="00530029" w:rsidRDefault="001034B8" w:rsidP="001034B8">
            <w:pPr>
              <w:spacing w:after="0" w:line="240" w:lineRule="auto"/>
              <w:rPr>
                <w:rFonts w:eastAsia="Times New Roman" w:cstheme="minorHAnsi"/>
                <w:sz w:val="18"/>
                <w:szCs w:val="18"/>
                <w:lang w:eastAsia="it-IT"/>
              </w:rPr>
            </w:pPr>
          </w:p>
        </w:tc>
        <w:tc>
          <w:tcPr>
            <w:tcW w:w="195" w:type="dxa"/>
            <w:tcBorders>
              <w:top w:val="nil"/>
              <w:left w:val="single" w:sz="4" w:space="0" w:color="auto"/>
              <w:bottom w:val="nil"/>
              <w:right w:val="nil"/>
            </w:tcBorders>
            <w:shd w:val="clear" w:color="auto" w:fill="auto"/>
            <w:noWrap/>
            <w:vAlign w:val="bottom"/>
            <w:hideMark/>
          </w:tcPr>
          <w:p w14:paraId="647612AB" w14:textId="77777777" w:rsidR="001034B8" w:rsidRPr="00530029" w:rsidRDefault="001034B8" w:rsidP="001034B8">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778" w:type="dxa"/>
            <w:tcBorders>
              <w:top w:val="nil"/>
              <w:left w:val="nil"/>
              <w:bottom w:val="nil"/>
              <w:right w:val="nil"/>
            </w:tcBorders>
            <w:shd w:val="clear" w:color="auto" w:fill="auto"/>
            <w:noWrap/>
            <w:vAlign w:val="bottom"/>
            <w:hideMark/>
          </w:tcPr>
          <w:p w14:paraId="20B70AB5" w14:textId="77777777" w:rsidR="001034B8" w:rsidRPr="00530029" w:rsidRDefault="001034B8" w:rsidP="001034B8">
            <w:pPr>
              <w:spacing w:after="0" w:line="240" w:lineRule="auto"/>
              <w:rPr>
                <w:rFonts w:eastAsia="Times New Roman" w:cstheme="minorHAnsi"/>
                <w:color w:val="000000"/>
                <w:sz w:val="18"/>
                <w:szCs w:val="18"/>
                <w:lang w:eastAsia="it-IT"/>
              </w:rPr>
            </w:pPr>
          </w:p>
        </w:tc>
        <w:tc>
          <w:tcPr>
            <w:tcW w:w="791" w:type="dxa"/>
            <w:gridSpan w:val="2"/>
            <w:tcBorders>
              <w:top w:val="nil"/>
              <w:left w:val="nil"/>
              <w:bottom w:val="nil"/>
              <w:right w:val="nil"/>
            </w:tcBorders>
            <w:shd w:val="clear" w:color="auto" w:fill="auto"/>
            <w:noWrap/>
            <w:vAlign w:val="bottom"/>
            <w:hideMark/>
          </w:tcPr>
          <w:p w14:paraId="29227A67" w14:textId="77777777" w:rsidR="001034B8" w:rsidRPr="00530029" w:rsidRDefault="001034B8" w:rsidP="001034B8">
            <w:pPr>
              <w:spacing w:after="0" w:line="240" w:lineRule="auto"/>
              <w:rPr>
                <w:rFonts w:eastAsia="Times New Roman" w:cstheme="minorHAnsi"/>
                <w:sz w:val="18"/>
                <w:szCs w:val="18"/>
                <w:lang w:eastAsia="it-IT"/>
              </w:rPr>
            </w:pPr>
          </w:p>
        </w:tc>
      </w:tr>
      <w:tr w:rsidR="00E62EBB" w:rsidRPr="00530029" w14:paraId="72D54F81" w14:textId="77777777" w:rsidTr="00E62EBB">
        <w:trPr>
          <w:trHeight w:val="250"/>
          <w:jc w:val="center"/>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6EB1A7" w14:textId="77777777" w:rsidR="001034B8" w:rsidRPr="00530029" w:rsidRDefault="001034B8" w:rsidP="001034B8">
            <w:pPr>
              <w:spacing w:after="0" w:line="240" w:lineRule="auto"/>
              <w:jc w:val="right"/>
              <w:rPr>
                <w:rFonts w:eastAsia="Times New Roman" w:cstheme="minorHAnsi"/>
                <w:color w:val="FF0000"/>
                <w:sz w:val="18"/>
                <w:szCs w:val="18"/>
                <w:lang w:eastAsia="it-IT"/>
              </w:rPr>
            </w:pPr>
            <w:r w:rsidRPr="00530029">
              <w:rPr>
                <w:rFonts w:eastAsia="Times New Roman" w:cstheme="minorHAnsi"/>
                <w:strike/>
                <w:color w:val="FF0000"/>
                <w:sz w:val="18"/>
                <w:szCs w:val="18"/>
                <w:lang w:eastAsia="it-IT"/>
              </w:rPr>
              <w:t xml:space="preserve">3 </w:t>
            </w:r>
          </w:p>
        </w:tc>
        <w:tc>
          <w:tcPr>
            <w:tcW w:w="938" w:type="dxa"/>
            <w:tcBorders>
              <w:top w:val="nil"/>
              <w:left w:val="nil"/>
              <w:bottom w:val="single" w:sz="4" w:space="0" w:color="auto"/>
              <w:right w:val="single" w:sz="4" w:space="0" w:color="auto"/>
            </w:tcBorders>
            <w:shd w:val="clear" w:color="auto" w:fill="auto"/>
            <w:noWrap/>
            <w:vAlign w:val="bottom"/>
            <w:hideMark/>
          </w:tcPr>
          <w:p w14:paraId="56A23BBE" w14:textId="77777777" w:rsidR="001034B8" w:rsidRPr="00530029" w:rsidRDefault="001034B8" w:rsidP="001034B8">
            <w:pPr>
              <w:spacing w:after="0" w:line="240" w:lineRule="auto"/>
              <w:jc w:val="right"/>
              <w:rPr>
                <w:rFonts w:eastAsia="Times New Roman" w:cstheme="minorHAnsi"/>
                <w:color w:val="FF0000"/>
                <w:sz w:val="18"/>
                <w:szCs w:val="18"/>
                <w:lang w:eastAsia="it-IT"/>
              </w:rPr>
            </w:pPr>
            <w:r w:rsidRPr="00530029">
              <w:rPr>
                <w:rFonts w:eastAsia="Times New Roman" w:cstheme="minorHAnsi"/>
                <w:strike/>
                <w:color w:val="FF0000"/>
                <w:sz w:val="18"/>
                <w:szCs w:val="18"/>
                <w:lang w:eastAsia="it-IT"/>
              </w:rPr>
              <w:t xml:space="preserve">11,110 </w:t>
            </w:r>
          </w:p>
        </w:tc>
        <w:tc>
          <w:tcPr>
            <w:tcW w:w="148" w:type="dxa"/>
            <w:tcBorders>
              <w:top w:val="nil"/>
              <w:left w:val="nil"/>
              <w:bottom w:val="nil"/>
              <w:right w:val="nil"/>
            </w:tcBorders>
            <w:shd w:val="clear" w:color="auto" w:fill="auto"/>
            <w:noWrap/>
            <w:vAlign w:val="bottom"/>
            <w:hideMark/>
          </w:tcPr>
          <w:p w14:paraId="28DACD54" w14:textId="77777777"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738" w:type="dxa"/>
            <w:tcBorders>
              <w:top w:val="nil"/>
              <w:left w:val="nil"/>
              <w:bottom w:val="nil"/>
              <w:right w:val="nil"/>
            </w:tcBorders>
            <w:shd w:val="clear" w:color="auto" w:fill="auto"/>
            <w:noWrap/>
            <w:vAlign w:val="bottom"/>
            <w:hideMark/>
          </w:tcPr>
          <w:p w14:paraId="6D03D92B" w14:textId="77777777" w:rsidR="001034B8" w:rsidRPr="00530029" w:rsidRDefault="001034B8" w:rsidP="001034B8">
            <w:pPr>
              <w:spacing w:after="0" w:line="240" w:lineRule="auto"/>
              <w:rPr>
                <w:rFonts w:eastAsia="Times New Roman" w:cstheme="minorHAnsi"/>
                <w:sz w:val="18"/>
                <w:szCs w:val="18"/>
                <w:lang w:eastAsia="it-IT"/>
              </w:rPr>
            </w:pPr>
          </w:p>
        </w:tc>
        <w:tc>
          <w:tcPr>
            <w:tcW w:w="880" w:type="dxa"/>
            <w:tcBorders>
              <w:top w:val="nil"/>
              <w:left w:val="nil"/>
              <w:bottom w:val="nil"/>
              <w:right w:val="nil"/>
            </w:tcBorders>
            <w:shd w:val="clear" w:color="auto" w:fill="auto"/>
            <w:noWrap/>
            <w:vAlign w:val="bottom"/>
            <w:hideMark/>
          </w:tcPr>
          <w:p w14:paraId="47AF35AA" w14:textId="77777777" w:rsidR="001034B8" w:rsidRPr="00530029" w:rsidRDefault="001034B8" w:rsidP="001034B8">
            <w:pPr>
              <w:spacing w:after="0" w:line="240" w:lineRule="auto"/>
              <w:rPr>
                <w:rFonts w:eastAsia="Times New Roman" w:cstheme="minorHAnsi"/>
                <w:sz w:val="18"/>
                <w:szCs w:val="18"/>
                <w:lang w:eastAsia="it-IT"/>
              </w:rPr>
            </w:pPr>
          </w:p>
        </w:tc>
        <w:tc>
          <w:tcPr>
            <w:tcW w:w="164" w:type="dxa"/>
            <w:gridSpan w:val="2"/>
            <w:tcBorders>
              <w:top w:val="nil"/>
              <w:left w:val="nil"/>
              <w:bottom w:val="nil"/>
              <w:right w:val="nil"/>
            </w:tcBorders>
            <w:shd w:val="clear" w:color="auto" w:fill="auto"/>
            <w:noWrap/>
            <w:vAlign w:val="bottom"/>
            <w:hideMark/>
          </w:tcPr>
          <w:p w14:paraId="27AA9C17" w14:textId="77777777" w:rsidR="001034B8" w:rsidRPr="00530029" w:rsidRDefault="001034B8" w:rsidP="001034B8">
            <w:pPr>
              <w:spacing w:after="0" w:line="240" w:lineRule="auto"/>
              <w:rPr>
                <w:rFonts w:eastAsia="Times New Roman" w:cstheme="minorHAnsi"/>
                <w:sz w:val="18"/>
                <w:szCs w:val="18"/>
                <w:lang w:eastAsia="it-IT"/>
              </w:rPr>
            </w:pPr>
          </w:p>
        </w:tc>
        <w:tc>
          <w:tcPr>
            <w:tcW w:w="195" w:type="dxa"/>
            <w:tcBorders>
              <w:top w:val="nil"/>
              <w:left w:val="single" w:sz="4" w:space="0" w:color="auto"/>
              <w:bottom w:val="nil"/>
              <w:right w:val="nil"/>
            </w:tcBorders>
            <w:shd w:val="clear" w:color="auto" w:fill="auto"/>
            <w:noWrap/>
            <w:vAlign w:val="bottom"/>
            <w:hideMark/>
          </w:tcPr>
          <w:p w14:paraId="5732F652" w14:textId="77777777" w:rsidR="001034B8" w:rsidRPr="00530029" w:rsidRDefault="001034B8" w:rsidP="001034B8">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778" w:type="dxa"/>
            <w:tcBorders>
              <w:top w:val="nil"/>
              <w:left w:val="nil"/>
              <w:bottom w:val="nil"/>
              <w:right w:val="nil"/>
            </w:tcBorders>
            <w:shd w:val="clear" w:color="auto" w:fill="auto"/>
            <w:noWrap/>
            <w:vAlign w:val="bottom"/>
            <w:hideMark/>
          </w:tcPr>
          <w:p w14:paraId="59208B11" w14:textId="77777777" w:rsidR="001034B8" w:rsidRPr="00530029" w:rsidRDefault="001034B8" w:rsidP="001034B8">
            <w:pPr>
              <w:spacing w:after="0" w:line="240" w:lineRule="auto"/>
              <w:rPr>
                <w:rFonts w:eastAsia="Times New Roman" w:cstheme="minorHAnsi"/>
                <w:color w:val="000000"/>
                <w:sz w:val="18"/>
                <w:szCs w:val="18"/>
                <w:lang w:eastAsia="it-IT"/>
              </w:rPr>
            </w:pPr>
          </w:p>
        </w:tc>
        <w:tc>
          <w:tcPr>
            <w:tcW w:w="791" w:type="dxa"/>
            <w:gridSpan w:val="2"/>
            <w:tcBorders>
              <w:top w:val="nil"/>
              <w:left w:val="nil"/>
              <w:bottom w:val="nil"/>
              <w:right w:val="nil"/>
            </w:tcBorders>
            <w:shd w:val="clear" w:color="auto" w:fill="auto"/>
            <w:noWrap/>
            <w:vAlign w:val="bottom"/>
            <w:hideMark/>
          </w:tcPr>
          <w:p w14:paraId="5083FEDD" w14:textId="77777777" w:rsidR="001034B8" w:rsidRPr="00530029" w:rsidRDefault="001034B8" w:rsidP="001034B8">
            <w:pPr>
              <w:spacing w:after="0" w:line="240" w:lineRule="auto"/>
              <w:rPr>
                <w:rFonts w:eastAsia="Times New Roman" w:cstheme="minorHAnsi"/>
                <w:sz w:val="18"/>
                <w:szCs w:val="18"/>
                <w:lang w:eastAsia="it-IT"/>
              </w:rPr>
            </w:pPr>
          </w:p>
        </w:tc>
      </w:tr>
      <w:tr w:rsidR="00E62EBB" w:rsidRPr="00530029" w14:paraId="256447E8" w14:textId="77777777" w:rsidTr="00E62EBB">
        <w:trPr>
          <w:trHeight w:val="250"/>
          <w:jc w:val="center"/>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58054A"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4 </w:t>
            </w:r>
          </w:p>
        </w:tc>
        <w:tc>
          <w:tcPr>
            <w:tcW w:w="938" w:type="dxa"/>
            <w:tcBorders>
              <w:top w:val="nil"/>
              <w:left w:val="nil"/>
              <w:bottom w:val="single" w:sz="4" w:space="0" w:color="auto"/>
              <w:right w:val="single" w:sz="4" w:space="0" w:color="auto"/>
            </w:tcBorders>
            <w:shd w:val="clear" w:color="auto" w:fill="auto"/>
            <w:noWrap/>
            <w:vAlign w:val="bottom"/>
            <w:hideMark/>
          </w:tcPr>
          <w:p w14:paraId="57CFEAC8"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11,431 </w:t>
            </w:r>
          </w:p>
        </w:tc>
        <w:tc>
          <w:tcPr>
            <w:tcW w:w="148" w:type="dxa"/>
            <w:tcBorders>
              <w:top w:val="nil"/>
              <w:left w:val="nil"/>
              <w:bottom w:val="nil"/>
              <w:right w:val="nil"/>
            </w:tcBorders>
            <w:shd w:val="clear" w:color="auto" w:fill="auto"/>
            <w:noWrap/>
            <w:vAlign w:val="bottom"/>
            <w:hideMark/>
          </w:tcPr>
          <w:p w14:paraId="5E6EE115" w14:textId="77777777"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7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BDC815"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4 </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14:paraId="31B1A539"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11,431 </w:t>
            </w:r>
          </w:p>
        </w:tc>
        <w:tc>
          <w:tcPr>
            <w:tcW w:w="164" w:type="dxa"/>
            <w:gridSpan w:val="2"/>
            <w:tcBorders>
              <w:top w:val="nil"/>
              <w:left w:val="nil"/>
              <w:bottom w:val="nil"/>
              <w:right w:val="nil"/>
            </w:tcBorders>
            <w:shd w:val="clear" w:color="auto" w:fill="auto"/>
            <w:noWrap/>
            <w:vAlign w:val="bottom"/>
            <w:hideMark/>
          </w:tcPr>
          <w:p w14:paraId="071C3C26" w14:textId="77777777"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195" w:type="dxa"/>
            <w:tcBorders>
              <w:top w:val="nil"/>
              <w:left w:val="single" w:sz="4" w:space="0" w:color="auto"/>
              <w:bottom w:val="nil"/>
              <w:right w:val="nil"/>
            </w:tcBorders>
            <w:shd w:val="clear" w:color="auto" w:fill="auto"/>
            <w:noWrap/>
            <w:vAlign w:val="bottom"/>
            <w:hideMark/>
          </w:tcPr>
          <w:p w14:paraId="613C395F" w14:textId="77777777" w:rsidR="001034B8" w:rsidRPr="00530029" w:rsidRDefault="001034B8" w:rsidP="001034B8">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778" w:type="dxa"/>
            <w:tcBorders>
              <w:top w:val="nil"/>
              <w:left w:val="nil"/>
              <w:bottom w:val="nil"/>
              <w:right w:val="nil"/>
            </w:tcBorders>
            <w:shd w:val="clear" w:color="auto" w:fill="auto"/>
            <w:noWrap/>
            <w:vAlign w:val="bottom"/>
            <w:hideMark/>
          </w:tcPr>
          <w:p w14:paraId="5E71DADC" w14:textId="77777777" w:rsidR="001034B8" w:rsidRPr="00530029" w:rsidRDefault="001034B8" w:rsidP="001034B8">
            <w:pPr>
              <w:spacing w:after="0" w:line="240" w:lineRule="auto"/>
              <w:rPr>
                <w:rFonts w:eastAsia="Times New Roman" w:cstheme="minorHAnsi"/>
                <w:color w:val="000000"/>
                <w:sz w:val="18"/>
                <w:szCs w:val="18"/>
                <w:lang w:eastAsia="it-IT"/>
              </w:rPr>
            </w:pPr>
          </w:p>
        </w:tc>
        <w:tc>
          <w:tcPr>
            <w:tcW w:w="791" w:type="dxa"/>
            <w:gridSpan w:val="2"/>
            <w:tcBorders>
              <w:top w:val="nil"/>
              <w:left w:val="nil"/>
              <w:bottom w:val="nil"/>
              <w:right w:val="nil"/>
            </w:tcBorders>
            <w:shd w:val="clear" w:color="auto" w:fill="auto"/>
            <w:noWrap/>
            <w:vAlign w:val="bottom"/>
            <w:hideMark/>
          </w:tcPr>
          <w:p w14:paraId="50E61299" w14:textId="77777777" w:rsidR="001034B8" w:rsidRPr="00530029" w:rsidRDefault="001034B8" w:rsidP="001034B8">
            <w:pPr>
              <w:spacing w:after="0" w:line="240" w:lineRule="auto"/>
              <w:rPr>
                <w:rFonts w:eastAsia="Times New Roman" w:cstheme="minorHAnsi"/>
                <w:sz w:val="18"/>
                <w:szCs w:val="18"/>
                <w:lang w:eastAsia="it-IT"/>
              </w:rPr>
            </w:pPr>
          </w:p>
        </w:tc>
      </w:tr>
      <w:tr w:rsidR="00E62EBB" w:rsidRPr="00530029" w14:paraId="0C51ACC3" w14:textId="77777777" w:rsidTr="00E62EBB">
        <w:trPr>
          <w:trHeight w:val="250"/>
          <w:jc w:val="center"/>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3275E55"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5 </w:t>
            </w:r>
          </w:p>
        </w:tc>
        <w:tc>
          <w:tcPr>
            <w:tcW w:w="938" w:type="dxa"/>
            <w:tcBorders>
              <w:top w:val="nil"/>
              <w:left w:val="nil"/>
              <w:bottom w:val="single" w:sz="4" w:space="0" w:color="auto"/>
              <w:right w:val="single" w:sz="4" w:space="0" w:color="auto"/>
            </w:tcBorders>
            <w:shd w:val="clear" w:color="auto" w:fill="auto"/>
            <w:noWrap/>
            <w:vAlign w:val="bottom"/>
            <w:hideMark/>
          </w:tcPr>
          <w:p w14:paraId="685AAE8E"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11,691 </w:t>
            </w:r>
          </w:p>
        </w:tc>
        <w:tc>
          <w:tcPr>
            <w:tcW w:w="148" w:type="dxa"/>
            <w:tcBorders>
              <w:top w:val="nil"/>
              <w:left w:val="nil"/>
              <w:bottom w:val="nil"/>
              <w:right w:val="nil"/>
            </w:tcBorders>
            <w:shd w:val="clear" w:color="auto" w:fill="auto"/>
            <w:noWrap/>
            <w:vAlign w:val="bottom"/>
            <w:hideMark/>
          </w:tcPr>
          <w:p w14:paraId="79E768F4" w14:textId="77777777"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738" w:type="dxa"/>
            <w:tcBorders>
              <w:top w:val="nil"/>
              <w:left w:val="single" w:sz="4" w:space="0" w:color="auto"/>
              <w:bottom w:val="single" w:sz="4" w:space="0" w:color="auto"/>
              <w:right w:val="single" w:sz="4" w:space="0" w:color="auto"/>
            </w:tcBorders>
            <w:shd w:val="clear" w:color="auto" w:fill="auto"/>
            <w:noWrap/>
            <w:vAlign w:val="bottom"/>
            <w:hideMark/>
          </w:tcPr>
          <w:p w14:paraId="3DB26402"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5 </w:t>
            </w:r>
          </w:p>
        </w:tc>
        <w:tc>
          <w:tcPr>
            <w:tcW w:w="880" w:type="dxa"/>
            <w:tcBorders>
              <w:top w:val="nil"/>
              <w:left w:val="nil"/>
              <w:bottom w:val="single" w:sz="4" w:space="0" w:color="auto"/>
              <w:right w:val="single" w:sz="4" w:space="0" w:color="auto"/>
            </w:tcBorders>
            <w:shd w:val="clear" w:color="auto" w:fill="auto"/>
            <w:noWrap/>
            <w:vAlign w:val="bottom"/>
            <w:hideMark/>
          </w:tcPr>
          <w:p w14:paraId="7FB374DE"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11,691 </w:t>
            </w:r>
          </w:p>
        </w:tc>
        <w:tc>
          <w:tcPr>
            <w:tcW w:w="164" w:type="dxa"/>
            <w:gridSpan w:val="2"/>
            <w:tcBorders>
              <w:top w:val="nil"/>
              <w:left w:val="nil"/>
              <w:bottom w:val="nil"/>
              <w:right w:val="nil"/>
            </w:tcBorders>
            <w:shd w:val="clear" w:color="auto" w:fill="auto"/>
            <w:noWrap/>
            <w:vAlign w:val="bottom"/>
            <w:hideMark/>
          </w:tcPr>
          <w:p w14:paraId="2297682E" w14:textId="77777777"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195" w:type="dxa"/>
            <w:tcBorders>
              <w:top w:val="nil"/>
              <w:left w:val="single" w:sz="4" w:space="0" w:color="auto"/>
              <w:bottom w:val="nil"/>
              <w:right w:val="nil"/>
            </w:tcBorders>
            <w:shd w:val="clear" w:color="auto" w:fill="auto"/>
            <w:noWrap/>
            <w:vAlign w:val="bottom"/>
            <w:hideMark/>
          </w:tcPr>
          <w:p w14:paraId="2584662F" w14:textId="77777777" w:rsidR="001034B8" w:rsidRPr="00530029" w:rsidRDefault="001034B8" w:rsidP="001034B8">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778" w:type="dxa"/>
            <w:tcBorders>
              <w:top w:val="nil"/>
              <w:left w:val="nil"/>
              <w:bottom w:val="nil"/>
              <w:right w:val="nil"/>
            </w:tcBorders>
            <w:shd w:val="clear" w:color="auto" w:fill="auto"/>
            <w:noWrap/>
            <w:vAlign w:val="bottom"/>
            <w:hideMark/>
          </w:tcPr>
          <w:p w14:paraId="6350D8C3" w14:textId="77777777" w:rsidR="001034B8" w:rsidRPr="00530029" w:rsidRDefault="001034B8" w:rsidP="001034B8">
            <w:pPr>
              <w:spacing w:after="0" w:line="240" w:lineRule="auto"/>
              <w:rPr>
                <w:rFonts w:eastAsia="Times New Roman" w:cstheme="minorHAnsi"/>
                <w:color w:val="000000"/>
                <w:sz w:val="18"/>
                <w:szCs w:val="18"/>
                <w:lang w:eastAsia="it-IT"/>
              </w:rPr>
            </w:pPr>
          </w:p>
        </w:tc>
        <w:tc>
          <w:tcPr>
            <w:tcW w:w="791" w:type="dxa"/>
            <w:gridSpan w:val="2"/>
            <w:tcBorders>
              <w:top w:val="nil"/>
              <w:left w:val="nil"/>
              <w:bottom w:val="nil"/>
              <w:right w:val="nil"/>
            </w:tcBorders>
            <w:shd w:val="clear" w:color="auto" w:fill="auto"/>
            <w:noWrap/>
            <w:vAlign w:val="bottom"/>
            <w:hideMark/>
          </w:tcPr>
          <w:p w14:paraId="2F9899D1" w14:textId="77777777" w:rsidR="001034B8" w:rsidRPr="00530029" w:rsidRDefault="001034B8" w:rsidP="001034B8">
            <w:pPr>
              <w:spacing w:after="0" w:line="240" w:lineRule="auto"/>
              <w:rPr>
                <w:rFonts w:eastAsia="Times New Roman" w:cstheme="minorHAnsi"/>
                <w:sz w:val="18"/>
                <w:szCs w:val="18"/>
                <w:lang w:eastAsia="it-IT"/>
              </w:rPr>
            </w:pPr>
          </w:p>
        </w:tc>
      </w:tr>
      <w:tr w:rsidR="00E62EBB" w:rsidRPr="00530029" w14:paraId="4821CA5F" w14:textId="77777777" w:rsidTr="00E62EBB">
        <w:trPr>
          <w:trHeight w:val="250"/>
          <w:jc w:val="center"/>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45D7368"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6 </w:t>
            </w:r>
          </w:p>
        </w:tc>
        <w:tc>
          <w:tcPr>
            <w:tcW w:w="938" w:type="dxa"/>
            <w:tcBorders>
              <w:top w:val="nil"/>
              <w:left w:val="nil"/>
              <w:bottom w:val="single" w:sz="4" w:space="0" w:color="auto"/>
              <w:right w:val="single" w:sz="4" w:space="0" w:color="auto"/>
            </w:tcBorders>
            <w:shd w:val="clear" w:color="auto" w:fill="auto"/>
            <w:noWrap/>
            <w:vAlign w:val="bottom"/>
            <w:hideMark/>
          </w:tcPr>
          <w:p w14:paraId="002129F6"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12,751 </w:t>
            </w:r>
          </w:p>
        </w:tc>
        <w:tc>
          <w:tcPr>
            <w:tcW w:w="148" w:type="dxa"/>
            <w:tcBorders>
              <w:top w:val="nil"/>
              <w:left w:val="nil"/>
              <w:bottom w:val="nil"/>
              <w:right w:val="nil"/>
            </w:tcBorders>
            <w:shd w:val="clear" w:color="auto" w:fill="auto"/>
            <w:noWrap/>
            <w:vAlign w:val="bottom"/>
            <w:hideMark/>
          </w:tcPr>
          <w:p w14:paraId="1353794B" w14:textId="77777777"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738" w:type="dxa"/>
            <w:tcBorders>
              <w:top w:val="nil"/>
              <w:left w:val="single" w:sz="4" w:space="0" w:color="auto"/>
              <w:bottom w:val="single" w:sz="4" w:space="0" w:color="auto"/>
              <w:right w:val="single" w:sz="4" w:space="0" w:color="auto"/>
            </w:tcBorders>
            <w:shd w:val="clear" w:color="auto" w:fill="auto"/>
            <w:noWrap/>
            <w:vAlign w:val="bottom"/>
            <w:hideMark/>
          </w:tcPr>
          <w:p w14:paraId="0460EB32"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6 </w:t>
            </w:r>
          </w:p>
        </w:tc>
        <w:tc>
          <w:tcPr>
            <w:tcW w:w="880" w:type="dxa"/>
            <w:tcBorders>
              <w:top w:val="nil"/>
              <w:left w:val="nil"/>
              <w:bottom w:val="single" w:sz="4" w:space="0" w:color="auto"/>
              <w:right w:val="single" w:sz="4" w:space="0" w:color="auto"/>
            </w:tcBorders>
            <w:shd w:val="clear" w:color="auto" w:fill="auto"/>
            <w:noWrap/>
            <w:vAlign w:val="bottom"/>
            <w:hideMark/>
          </w:tcPr>
          <w:p w14:paraId="152BA0CF"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12,751 </w:t>
            </w:r>
          </w:p>
        </w:tc>
        <w:tc>
          <w:tcPr>
            <w:tcW w:w="164" w:type="dxa"/>
            <w:gridSpan w:val="2"/>
            <w:tcBorders>
              <w:top w:val="nil"/>
              <w:left w:val="nil"/>
              <w:bottom w:val="nil"/>
              <w:right w:val="nil"/>
            </w:tcBorders>
            <w:shd w:val="clear" w:color="auto" w:fill="auto"/>
            <w:noWrap/>
            <w:vAlign w:val="bottom"/>
            <w:hideMark/>
          </w:tcPr>
          <w:p w14:paraId="45C4E159" w14:textId="77777777"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195" w:type="dxa"/>
            <w:tcBorders>
              <w:top w:val="nil"/>
              <w:left w:val="single" w:sz="4" w:space="0" w:color="auto"/>
              <w:bottom w:val="nil"/>
              <w:right w:val="nil"/>
            </w:tcBorders>
            <w:shd w:val="clear" w:color="auto" w:fill="auto"/>
            <w:noWrap/>
            <w:vAlign w:val="bottom"/>
            <w:hideMark/>
          </w:tcPr>
          <w:p w14:paraId="2D05EF8D" w14:textId="77777777" w:rsidR="001034B8" w:rsidRPr="00530029" w:rsidRDefault="001034B8" w:rsidP="001034B8">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778" w:type="dxa"/>
            <w:tcBorders>
              <w:top w:val="nil"/>
              <w:left w:val="nil"/>
              <w:bottom w:val="nil"/>
              <w:right w:val="nil"/>
            </w:tcBorders>
            <w:shd w:val="clear" w:color="auto" w:fill="auto"/>
            <w:noWrap/>
            <w:vAlign w:val="bottom"/>
            <w:hideMark/>
          </w:tcPr>
          <w:p w14:paraId="57C3C691" w14:textId="77777777" w:rsidR="001034B8" w:rsidRPr="00530029" w:rsidRDefault="001034B8" w:rsidP="001034B8">
            <w:pPr>
              <w:spacing w:after="0" w:line="240" w:lineRule="auto"/>
              <w:rPr>
                <w:rFonts w:eastAsia="Times New Roman" w:cstheme="minorHAnsi"/>
                <w:color w:val="000000"/>
                <w:sz w:val="18"/>
                <w:szCs w:val="18"/>
                <w:lang w:eastAsia="it-IT"/>
              </w:rPr>
            </w:pPr>
          </w:p>
        </w:tc>
        <w:tc>
          <w:tcPr>
            <w:tcW w:w="791" w:type="dxa"/>
            <w:gridSpan w:val="2"/>
            <w:tcBorders>
              <w:top w:val="nil"/>
              <w:left w:val="nil"/>
              <w:bottom w:val="nil"/>
              <w:right w:val="nil"/>
            </w:tcBorders>
            <w:shd w:val="clear" w:color="auto" w:fill="auto"/>
            <w:noWrap/>
            <w:vAlign w:val="bottom"/>
            <w:hideMark/>
          </w:tcPr>
          <w:p w14:paraId="0CA59A6C" w14:textId="77777777" w:rsidR="001034B8" w:rsidRPr="00530029" w:rsidRDefault="001034B8" w:rsidP="001034B8">
            <w:pPr>
              <w:spacing w:after="0" w:line="240" w:lineRule="auto"/>
              <w:rPr>
                <w:rFonts w:eastAsia="Times New Roman" w:cstheme="minorHAnsi"/>
                <w:sz w:val="18"/>
                <w:szCs w:val="18"/>
                <w:lang w:eastAsia="it-IT"/>
              </w:rPr>
            </w:pPr>
          </w:p>
        </w:tc>
      </w:tr>
      <w:tr w:rsidR="00E62EBB" w:rsidRPr="00530029" w14:paraId="53CE50A3" w14:textId="77777777" w:rsidTr="00E62EBB">
        <w:trPr>
          <w:trHeight w:val="250"/>
          <w:jc w:val="center"/>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35D6DA3"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7 </w:t>
            </w:r>
          </w:p>
        </w:tc>
        <w:tc>
          <w:tcPr>
            <w:tcW w:w="938" w:type="dxa"/>
            <w:tcBorders>
              <w:top w:val="nil"/>
              <w:left w:val="nil"/>
              <w:bottom w:val="single" w:sz="4" w:space="0" w:color="auto"/>
              <w:right w:val="single" w:sz="4" w:space="0" w:color="auto"/>
            </w:tcBorders>
            <w:shd w:val="clear" w:color="auto" w:fill="auto"/>
            <w:noWrap/>
            <w:vAlign w:val="bottom"/>
            <w:hideMark/>
          </w:tcPr>
          <w:p w14:paraId="4243D8DC"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12,961 </w:t>
            </w:r>
          </w:p>
        </w:tc>
        <w:tc>
          <w:tcPr>
            <w:tcW w:w="148" w:type="dxa"/>
            <w:tcBorders>
              <w:top w:val="nil"/>
              <w:left w:val="nil"/>
              <w:bottom w:val="nil"/>
              <w:right w:val="nil"/>
            </w:tcBorders>
            <w:shd w:val="clear" w:color="auto" w:fill="auto"/>
            <w:noWrap/>
            <w:vAlign w:val="bottom"/>
            <w:hideMark/>
          </w:tcPr>
          <w:p w14:paraId="3FE3572C" w14:textId="77777777"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738" w:type="dxa"/>
            <w:tcBorders>
              <w:top w:val="nil"/>
              <w:left w:val="single" w:sz="4" w:space="0" w:color="auto"/>
              <w:bottom w:val="single" w:sz="4" w:space="0" w:color="auto"/>
              <w:right w:val="single" w:sz="4" w:space="0" w:color="auto"/>
            </w:tcBorders>
            <w:shd w:val="clear" w:color="auto" w:fill="auto"/>
            <w:noWrap/>
            <w:vAlign w:val="bottom"/>
            <w:hideMark/>
          </w:tcPr>
          <w:p w14:paraId="0F94185E"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7 </w:t>
            </w:r>
          </w:p>
        </w:tc>
        <w:tc>
          <w:tcPr>
            <w:tcW w:w="880" w:type="dxa"/>
            <w:tcBorders>
              <w:top w:val="nil"/>
              <w:left w:val="nil"/>
              <w:bottom w:val="single" w:sz="4" w:space="0" w:color="auto"/>
              <w:right w:val="single" w:sz="4" w:space="0" w:color="auto"/>
            </w:tcBorders>
            <w:shd w:val="clear" w:color="auto" w:fill="auto"/>
            <w:noWrap/>
            <w:vAlign w:val="bottom"/>
            <w:hideMark/>
          </w:tcPr>
          <w:p w14:paraId="3F777869"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12,961 </w:t>
            </w:r>
          </w:p>
        </w:tc>
        <w:tc>
          <w:tcPr>
            <w:tcW w:w="164" w:type="dxa"/>
            <w:gridSpan w:val="2"/>
            <w:tcBorders>
              <w:top w:val="nil"/>
              <w:left w:val="nil"/>
              <w:bottom w:val="nil"/>
              <w:right w:val="nil"/>
            </w:tcBorders>
            <w:shd w:val="clear" w:color="auto" w:fill="auto"/>
            <w:noWrap/>
            <w:vAlign w:val="bottom"/>
            <w:hideMark/>
          </w:tcPr>
          <w:p w14:paraId="655318B4" w14:textId="77777777"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195" w:type="dxa"/>
            <w:tcBorders>
              <w:top w:val="nil"/>
              <w:left w:val="single" w:sz="4" w:space="0" w:color="auto"/>
              <w:bottom w:val="nil"/>
              <w:right w:val="nil"/>
            </w:tcBorders>
            <w:shd w:val="clear" w:color="auto" w:fill="auto"/>
            <w:noWrap/>
            <w:vAlign w:val="bottom"/>
            <w:hideMark/>
          </w:tcPr>
          <w:p w14:paraId="3FE792F3" w14:textId="77777777" w:rsidR="001034B8" w:rsidRPr="00530029" w:rsidRDefault="001034B8" w:rsidP="001034B8">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778" w:type="dxa"/>
            <w:tcBorders>
              <w:top w:val="nil"/>
              <w:left w:val="nil"/>
              <w:bottom w:val="nil"/>
              <w:right w:val="nil"/>
            </w:tcBorders>
            <w:shd w:val="clear" w:color="auto" w:fill="auto"/>
            <w:noWrap/>
            <w:vAlign w:val="bottom"/>
            <w:hideMark/>
          </w:tcPr>
          <w:p w14:paraId="31FD3AC9" w14:textId="77777777" w:rsidR="001034B8" w:rsidRPr="00530029" w:rsidRDefault="001034B8" w:rsidP="001034B8">
            <w:pPr>
              <w:spacing w:after="0" w:line="240" w:lineRule="auto"/>
              <w:rPr>
                <w:rFonts w:eastAsia="Times New Roman" w:cstheme="minorHAnsi"/>
                <w:color w:val="000000"/>
                <w:sz w:val="18"/>
                <w:szCs w:val="18"/>
                <w:lang w:eastAsia="it-IT"/>
              </w:rPr>
            </w:pPr>
          </w:p>
        </w:tc>
        <w:tc>
          <w:tcPr>
            <w:tcW w:w="791" w:type="dxa"/>
            <w:gridSpan w:val="2"/>
            <w:tcBorders>
              <w:top w:val="nil"/>
              <w:left w:val="nil"/>
              <w:bottom w:val="nil"/>
              <w:right w:val="nil"/>
            </w:tcBorders>
            <w:shd w:val="clear" w:color="auto" w:fill="auto"/>
            <w:noWrap/>
            <w:vAlign w:val="bottom"/>
            <w:hideMark/>
          </w:tcPr>
          <w:p w14:paraId="5AC507EF" w14:textId="77777777" w:rsidR="001034B8" w:rsidRPr="00530029" w:rsidRDefault="001034B8" w:rsidP="001034B8">
            <w:pPr>
              <w:spacing w:after="0" w:line="240" w:lineRule="auto"/>
              <w:rPr>
                <w:rFonts w:eastAsia="Times New Roman" w:cstheme="minorHAnsi"/>
                <w:sz w:val="18"/>
                <w:szCs w:val="18"/>
                <w:lang w:eastAsia="it-IT"/>
              </w:rPr>
            </w:pPr>
          </w:p>
        </w:tc>
      </w:tr>
      <w:tr w:rsidR="00E62EBB" w:rsidRPr="00530029" w14:paraId="7C4FB5A4" w14:textId="77777777" w:rsidTr="00E62EBB">
        <w:trPr>
          <w:trHeight w:val="250"/>
          <w:jc w:val="center"/>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CF85DE0"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8 </w:t>
            </w:r>
          </w:p>
        </w:tc>
        <w:tc>
          <w:tcPr>
            <w:tcW w:w="938" w:type="dxa"/>
            <w:tcBorders>
              <w:top w:val="nil"/>
              <w:left w:val="nil"/>
              <w:bottom w:val="single" w:sz="4" w:space="0" w:color="auto"/>
              <w:right w:val="single" w:sz="4" w:space="0" w:color="auto"/>
            </w:tcBorders>
            <w:shd w:val="clear" w:color="auto" w:fill="auto"/>
            <w:noWrap/>
            <w:vAlign w:val="bottom"/>
            <w:hideMark/>
          </w:tcPr>
          <w:p w14:paraId="4F3619FD"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13,471 </w:t>
            </w:r>
          </w:p>
        </w:tc>
        <w:tc>
          <w:tcPr>
            <w:tcW w:w="148" w:type="dxa"/>
            <w:tcBorders>
              <w:top w:val="nil"/>
              <w:left w:val="nil"/>
              <w:bottom w:val="nil"/>
              <w:right w:val="nil"/>
            </w:tcBorders>
            <w:shd w:val="clear" w:color="auto" w:fill="auto"/>
            <w:noWrap/>
            <w:vAlign w:val="bottom"/>
            <w:hideMark/>
          </w:tcPr>
          <w:p w14:paraId="698FE0EA" w14:textId="77777777"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738" w:type="dxa"/>
            <w:tcBorders>
              <w:top w:val="nil"/>
              <w:left w:val="single" w:sz="4" w:space="0" w:color="auto"/>
              <w:bottom w:val="single" w:sz="4" w:space="0" w:color="auto"/>
              <w:right w:val="single" w:sz="4" w:space="0" w:color="auto"/>
            </w:tcBorders>
            <w:shd w:val="clear" w:color="auto" w:fill="auto"/>
            <w:noWrap/>
            <w:vAlign w:val="bottom"/>
            <w:hideMark/>
          </w:tcPr>
          <w:p w14:paraId="4FB46153"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8 </w:t>
            </w:r>
          </w:p>
        </w:tc>
        <w:tc>
          <w:tcPr>
            <w:tcW w:w="880" w:type="dxa"/>
            <w:tcBorders>
              <w:top w:val="nil"/>
              <w:left w:val="nil"/>
              <w:bottom w:val="single" w:sz="4" w:space="0" w:color="auto"/>
              <w:right w:val="single" w:sz="4" w:space="0" w:color="auto"/>
            </w:tcBorders>
            <w:shd w:val="clear" w:color="auto" w:fill="auto"/>
            <w:noWrap/>
            <w:vAlign w:val="bottom"/>
            <w:hideMark/>
          </w:tcPr>
          <w:p w14:paraId="560691B5"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13,471 </w:t>
            </w:r>
          </w:p>
        </w:tc>
        <w:tc>
          <w:tcPr>
            <w:tcW w:w="164" w:type="dxa"/>
            <w:gridSpan w:val="2"/>
            <w:tcBorders>
              <w:top w:val="nil"/>
              <w:left w:val="nil"/>
              <w:bottom w:val="nil"/>
              <w:right w:val="nil"/>
            </w:tcBorders>
            <w:shd w:val="clear" w:color="auto" w:fill="auto"/>
            <w:noWrap/>
            <w:vAlign w:val="bottom"/>
            <w:hideMark/>
          </w:tcPr>
          <w:p w14:paraId="55109D73" w14:textId="77777777"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195" w:type="dxa"/>
            <w:tcBorders>
              <w:top w:val="nil"/>
              <w:left w:val="single" w:sz="4" w:space="0" w:color="auto"/>
              <w:bottom w:val="nil"/>
              <w:right w:val="nil"/>
            </w:tcBorders>
            <w:shd w:val="clear" w:color="auto" w:fill="auto"/>
            <w:noWrap/>
            <w:vAlign w:val="bottom"/>
            <w:hideMark/>
          </w:tcPr>
          <w:p w14:paraId="797536AA" w14:textId="77777777" w:rsidR="001034B8" w:rsidRPr="00530029" w:rsidRDefault="001034B8" w:rsidP="001034B8">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778" w:type="dxa"/>
            <w:tcBorders>
              <w:top w:val="nil"/>
              <w:left w:val="nil"/>
              <w:bottom w:val="nil"/>
              <w:right w:val="nil"/>
            </w:tcBorders>
            <w:shd w:val="clear" w:color="auto" w:fill="auto"/>
            <w:noWrap/>
            <w:vAlign w:val="bottom"/>
            <w:hideMark/>
          </w:tcPr>
          <w:p w14:paraId="20BF1B8F" w14:textId="77777777" w:rsidR="001034B8" w:rsidRPr="00530029" w:rsidRDefault="001034B8" w:rsidP="001034B8">
            <w:pPr>
              <w:spacing w:after="0" w:line="240" w:lineRule="auto"/>
              <w:rPr>
                <w:rFonts w:eastAsia="Times New Roman" w:cstheme="minorHAnsi"/>
                <w:color w:val="000000"/>
                <w:sz w:val="18"/>
                <w:szCs w:val="18"/>
                <w:lang w:eastAsia="it-IT"/>
              </w:rPr>
            </w:pPr>
          </w:p>
        </w:tc>
        <w:tc>
          <w:tcPr>
            <w:tcW w:w="791" w:type="dxa"/>
            <w:gridSpan w:val="2"/>
            <w:tcBorders>
              <w:top w:val="nil"/>
              <w:left w:val="nil"/>
              <w:bottom w:val="nil"/>
              <w:right w:val="nil"/>
            </w:tcBorders>
            <w:shd w:val="clear" w:color="auto" w:fill="auto"/>
            <w:noWrap/>
            <w:vAlign w:val="bottom"/>
            <w:hideMark/>
          </w:tcPr>
          <w:p w14:paraId="5E9103E8" w14:textId="77777777" w:rsidR="001034B8" w:rsidRPr="00530029" w:rsidRDefault="001034B8" w:rsidP="001034B8">
            <w:pPr>
              <w:spacing w:after="0" w:line="240" w:lineRule="auto"/>
              <w:rPr>
                <w:rFonts w:eastAsia="Times New Roman" w:cstheme="minorHAnsi"/>
                <w:sz w:val="18"/>
                <w:szCs w:val="18"/>
                <w:lang w:eastAsia="it-IT"/>
              </w:rPr>
            </w:pPr>
          </w:p>
        </w:tc>
      </w:tr>
      <w:tr w:rsidR="00E62EBB" w:rsidRPr="00530029" w14:paraId="63B9BD99" w14:textId="77777777" w:rsidTr="00E62EBB">
        <w:trPr>
          <w:trHeight w:val="250"/>
          <w:jc w:val="center"/>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8F85708"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9 </w:t>
            </w:r>
          </w:p>
        </w:tc>
        <w:tc>
          <w:tcPr>
            <w:tcW w:w="938" w:type="dxa"/>
            <w:tcBorders>
              <w:top w:val="nil"/>
              <w:left w:val="nil"/>
              <w:bottom w:val="single" w:sz="4" w:space="0" w:color="auto"/>
              <w:right w:val="single" w:sz="4" w:space="0" w:color="auto"/>
            </w:tcBorders>
            <w:shd w:val="clear" w:color="auto" w:fill="auto"/>
            <w:noWrap/>
            <w:vAlign w:val="bottom"/>
            <w:hideMark/>
          </w:tcPr>
          <w:p w14:paraId="0A2F8A87"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13,581 </w:t>
            </w:r>
          </w:p>
        </w:tc>
        <w:tc>
          <w:tcPr>
            <w:tcW w:w="148" w:type="dxa"/>
            <w:tcBorders>
              <w:top w:val="nil"/>
              <w:left w:val="nil"/>
              <w:bottom w:val="nil"/>
              <w:right w:val="nil"/>
            </w:tcBorders>
            <w:shd w:val="clear" w:color="auto" w:fill="auto"/>
            <w:noWrap/>
            <w:vAlign w:val="bottom"/>
            <w:hideMark/>
          </w:tcPr>
          <w:p w14:paraId="5CE20E7F" w14:textId="77777777"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738" w:type="dxa"/>
            <w:tcBorders>
              <w:top w:val="nil"/>
              <w:left w:val="single" w:sz="4" w:space="0" w:color="auto"/>
              <w:bottom w:val="single" w:sz="4" w:space="0" w:color="auto"/>
              <w:right w:val="single" w:sz="4" w:space="0" w:color="auto"/>
            </w:tcBorders>
            <w:shd w:val="clear" w:color="auto" w:fill="auto"/>
            <w:noWrap/>
            <w:vAlign w:val="bottom"/>
            <w:hideMark/>
          </w:tcPr>
          <w:p w14:paraId="6752F37A"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9 </w:t>
            </w:r>
          </w:p>
        </w:tc>
        <w:tc>
          <w:tcPr>
            <w:tcW w:w="880" w:type="dxa"/>
            <w:tcBorders>
              <w:top w:val="nil"/>
              <w:left w:val="nil"/>
              <w:bottom w:val="single" w:sz="4" w:space="0" w:color="auto"/>
              <w:right w:val="single" w:sz="4" w:space="0" w:color="auto"/>
            </w:tcBorders>
            <w:shd w:val="clear" w:color="auto" w:fill="auto"/>
            <w:noWrap/>
            <w:vAlign w:val="bottom"/>
            <w:hideMark/>
          </w:tcPr>
          <w:p w14:paraId="74538B40"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13,581 </w:t>
            </w:r>
          </w:p>
        </w:tc>
        <w:tc>
          <w:tcPr>
            <w:tcW w:w="164" w:type="dxa"/>
            <w:gridSpan w:val="2"/>
            <w:tcBorders>
              <w:top w:val="nil"/>
              <w:left w:val="nil"/>
              <w:bottom w:val="nil"/>
              <w:right w:val="nil"/>
            </w:tcBorders>
            <w:shd w:val="clear" w:color="auto" w:fill="auto"/>
            <w:noWrap/>
            <w:vAlign w:val="bottom"/>
            <w:hideMark/>
          </w:tcPr>
          <w:p w14:paraId="441200B9" w14:textId="77777777"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195" w:type="dxa"/>
            <w:tcBorders>
              <w:top w:val="nil"/>
              <w:left w:val="single" w:sz="4" w:space="0" w:color="auto"/>
              <w:bottom w:val="nil"/>
              <w:right w:val="nil"/>
            </w:tcBorders>
            <w:shd w:val="clear" w:color="auto" w:fill="auto"/>
            <w:noWrap/>
            <w:vAlign w:val="bottom"/>
            <w:hideMark/>
          </w:tcPr>
          <w:p w14:paraId="01B29765" w14:textId="77777777" w:rsidR="001034B8" w:rsidRPr="00530029" w:rsidRDefault="001034B8" w:rsidP="001034B8">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778" w:type="dxa"/>
            <w:tcBorders>
              <w:top w:val="nil"/>
              <w:left w:val="nil"/>
              <w:bottom w:val="nil"/>
              <w:right w:val="nil"/>
            </w:tcBorders>
            <w:shd w:val="clear" w:color="auto" w:fill="auto"/>
            <w:noWrap/>
            <w:vAlign w:val="bottom"/>
            <w:hideMark/>
          </w:tcPr>
          <w:p w14:paraId="3B66BD88" w14:textId="77777777" w:rsidR="001034B8" w:rsidRPr="00530029" w:rsidRDefault="001034B8" w:rsidP="001034B8">
            <w:pPr>
              <w:spacing w:after="0" w:line="240" w:lineRule="auto"/>
              <w:rPr>
                <w:rFonts w:eastAsia="Times New Roman" w:cstheme="minorHAnsi"/>
                <w:color w:val="000000"/>
                <w:sz w:val="18"/>
                <w:szCs w:val="18"/>
                <w:lang w:eastAsia="it-IT"/>
              </w:rPr>
            </w:pPr>
          </w:p>
        </w:tc>
        <w:tc>
          <w:tcPr>
            <w:tcW w:w="791" w:type="dxa"/>
            <w:gridSpan w:val="2"/>
            <w:tcBorders>
              <w:top w:val="nil"/>
              <w:left w:val="nil"/>
              <w:bottom w:val="nil"/>
              <w:right w:val="nil"/>
            </w:tcBorders>
            <w:shd w:val="clear" w:color="auto" w:fill="auto"/>
            <w:noWrap/>
            <w:vAlign w:val="bottom"/>
            <w:hideMark/>
          </w:tcPr>
          <w:p w14:paraId="6F81DAF4" w14:textId="77777777" w:rsidR="001034B8" w:rsidRPr="00530029" w:rsidRDefault="001034B8" w:rsidP="001034B8">
            <w:pPr>
              <w:spacing w:after="0" w:line="240" w:lineRule="auto"/>
              <w:rPr>
                <w:rFonts w:eastAsia="Times New Roman" w:cstheme="minorHAnsi"/>
                <w:sz w:val="18"/>
                <w:szCs w:val="18"/>
                <w:lang w:eastAsia="it-IT"/>
              </w:rPr>
            </w:pPr>
          </w:p>
        </w:tc>
      </w:tr>
      <w:tr w:rsidR="00E62EBB" w:rsidRPr="00530029" w14:paraId="105CE1BA" w14:textId="77777777" w:rsidTr="00E62EBB">
        <w:trPr>
          <w:trHeight w:val="250"/>
          <w:jc w:val="center"/>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AB7344"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10 </w:t>
            </w:r>
          </w:p>
        </w:tc>
        <w:tc>
          <w:tcPr>
            <w:tcW w:w="938" w:type="dxa"/>
            <w:tcBorders>
              <w:top w:val="nil"/>
              <w:left w:val="nil"/>
              <w:bottom w:val="single" w:sz="4" w:space="0" w:color="auto"/>
              <w:right w:val="single" w:sz="4" w:space="0" w:color="auto"/>
            </w:tcBorders>
            <w:shd w:val="clear" w:color="auto" w:fill="auto"/>
            <w:noWrap/>
            <w:vAlign w:val="bottom"/>
            <w:hideMark/>
          </w:tcPr>
          <w:p w14:paraId="3771EBFE"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13,910 </w:t>
            </w:r>
          </w:p>
        </w:tc>
        <w:tc>
          <w:tcPr>
            <w:tcW w:w="148" w:type="dxa"/>
            <w:tcBorders>
              <w:top w:val="nil"/>
              <w:left w:val="nil"/>
              <w:bottom w:val="nil"/>
              <w:right w:val="nil"/>
            </w:tcBorders>
            <w:shd w:val="clear" w:color="auto" w:fill="auto"/>
            <w:noWrap/>
            <w:vAlign w:val="bottom"/>
            <w:hideMark/>
          </w:tcPr>
          <w:p w14:paraId="28774585" w14:textId="77777777"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738" w:type="dxa"/>
            <w:tcBorders>
              <w:top w:val="nil"/>
              <w:left w:val="single" w:sz="4" w:space="0" w:color="auto"/>
              <w:bottom w:val="single" w:sz="4" w:space="0" w:color="auto"/>
              <w:right w:val="single" w:sz="4" w:space="0" w:color="auto"/>
            </w:tcBorders>
            <w:shd w:val="clear" w:color="auto" w:fill="auto"/>
            <w:noWrap/>
            <w:vAlign w:val="bottom"/>
            <w:hideMark/>
          </w:tcPr>
          <w:p w14:paraId="02B2B56B"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10 </w:t>
            </w:r>
          </w:p>
        </w:tc>
        <w:tc>
          <w:tcPr>
            <w:tcW w:w="880" w:type="dxa"/>
            <w:tcBorders>
              <w:top w:val="nil"/>
              <w:left w:val="nil"/>
              <w:bottom w:val="single" w:sz="4" w:space="0" w:color="auto"/>
              <w:right w:val="single" w:sz="4" w:space="0" w:color="auto"/>
            </w:tcBorders>
            <w:shd w:val="clear" w:color="auto" w:fill="auto"/>
            <w:noWrap/>
            <w:vAlign w:val="bottom"/>
            <w:hideMark/>
          </w:tcPr>
          <w:p w14:paraId="1CE682E5"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13,910 </w:t>
            </w:r>
          </w:p>
        </w:tc>
        <w:tc>
          <w:tcPr>
            <w:tcW w:w="164" w:type="dxa"/>
            <w:gridSpan w:val="2"/>
            <w:tcBorders>
              <w:top w:val="nil"/>
              <w:left w:val="nil"/>
              <w:bottom w:val="nil"/>
              <w:right w:val="nil"/>
            </w:tcBorders>
            <w:shd w:val="clear" w:color="auto" w:fill="auto"/>
            <w:noWrap/>
            <w:vAlign w:val="bottom"/>
            <w:hideMark/>
          </w:tcPr>
          <w:p w14:paraId="5238476F" w14:textId="77777777"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195" w:type="dxa"/>
            <w:tcBorders>
              <w:top w:val="nil"/>
              <w:left w:val="single" w:sz="4" w:space="0" w:color="auto"/>
              <w:bottom w:val="nil"/>
              <w:right w:val="nil"/>
            </w:tcBorders>
            <w:shd w:val="clear" w:color="auto" w:fill="auto"/>
            <w:noWrap/>
            <w:vAlign w:val="bottom"/>
            <w:hideMark/>
          </w:tcPr>
          <w:p w14:paraId="54195FAA" w14:textId="77777777" w:rsidR="001034B8" w:rsidRPr="00530029" w:rsidRDefault="001034B8" w:rsidP="001034B8">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778" w:type="dxa"/>
            <w:tcBorders>
              <w:top w:val="nil"/>
              <w:left w:val="nil"/>
              <w:bottom w:val="nil"/>
              <w:right w:val="nil"/>
            </w:tcBorders>
            <w:shd w:val="clear" w:color="auto" w:fill="auto"/>
            <w:noWrap/>
            <w:vAlign w:val="bottom"/>
            <w:hideMark/>
          </w:tcPr>
          <w:p w14:paraId="6C77DDA3" w14:textId="77777777" w:rsidR="001034B8" w:rsidRPr="00530029" w:rsidRDefault="001034B8" w:rsidP="001034B8">
            <w:pPr>
              <w:spacing w:after="0" w:line="240" w:lineRule="auto"/>
              <w:rPr>
                <w:rFonts w:eastAsia="Times New Roman" w:cstheme="minorHAnsi"/>
                <w:color w:val="000000"/>
                <w:sz w:val="18"/>
                <w:szCs w:val="18"/>
                <w:lang w:eastAsia="it-IT"/>
              </w:rPr>
            </w:pPr>
          </w:p>
        </w:tc>
        <w:tc>
          <w:tcPr>
            <w:tcW w:w="791" w:type="dxa"/>
            <w:gridSpan w:val="2"/>
            <w:tcBorders>
              <w:top w:val="nil"/>
              <w:left w:val="nil"/>
              <w:bottom w:val="nil"/>
              <w:right w:val="nil"/>
            </w:tcBorders>
            <w:shd w:val="clear" w:color="auto" w:fill="auto"/>
            <w:noWrap/>
            <w:vAlign w:val="bottom"/>
            <w:hideMark/>
          </w:tcPr>
          <w:p w14:paraId="4D7EB119" w14:textId="77777777" w:rsidR="001034B8" w:rsidRPr="00530029" w:rsidRDefault="001034B8" w:rsidP="001034B8">
            <w:pPr>
              <w:spacing w:after="0" w:line="240" w:lineRule="auto"/>
              <w:rPr>
                <w:rFonts w:eastAsia="Times New Roman" w:cstheme="minorHAnsi"/>
                <w:sz w:val="18"/>
                <w:szCs w:val="18"/>
                <w:lang w:eastAsia="it-IT"/>
              </w:rPr>
            </w:pPr>
          </w:p>
        </w:tc>
      </w:tr>
      <w:tr w:rsidR="00E62EBB" w:rsidRPr="00530029" w14:paraId="65E1244A" w14:textId="77777777" w:rsidTr="00E62EBB">
        <w:trPr>
          <w:trHeight w:val="250"/>
          <w:jc w:val="center"/>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64C67A6"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11 </w:t>
            </w:r>
          </w:p>
        </w:tc>
        <w:tc>
          <w:tcPr>
            <w:tcW w:w="938" w:type="dxa"/>
            <w:tcBorders>
              <w:top w:val="nil"/>
              <w:left w:val="nil"/>
              <w:bottom w:val="single" w:sz="4" w:space="0" w:color="auto"/>
              <w:right w:val="single" w:sz="4" w:space="0" w:color="auto"/>
            </w:tcBorders>
            <w:shd w:val="clear" w:color="auto" w:fill="auto"/>
            <w:noWrap/>
            <w:vAlign w:val="bottom"/>
            <w:hideMark/>
          </w:tcPr>
          <w:p w14:paraId="4C31254B"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14,721 </w:t>
            </w:r>
          </w:p>
        </w:tc>
        <w:tc>
          <w:tcPr>
            <w:tcW w:w="148" w:type="dxa"/>
            <w:tcBorders>
              <w:top w:val="nil"/>
              <w:left w:val="nil"/>
              <w:bottom w:val="nil"/>
              <w:right w:val="nil"/>
            </w:tcBorders>
            <w:shd w:val="clear" w:color="auto" w:fill="auto"/>
            <w:noWrap/>
            <w:vAlign w:val="bottom"/>
            <w:hideMark/>
          </w:tcPr>
          <w:p w14:paraId="14708DDC" w14:textId="77777777"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738" w:type="dxa"/>
            <w:tcBorders>
              <w:top w:val="nil"/>
              <w:left w:val="single" w:sz="4" w:space="0" w:color="auto"/>
              <w:bottom w:val="single" w:sz="4" w:space="0" w:color="auto"/>
              <w:right w:val="single" w:sz="4" w:space="0" w:color="auto"/>
            </w:tcBorders>
            <w:shd w:val="clear" w:color="auto" w:fill="auto"/>
            <w:noWrap/>
            <w:vAlign w:val="bottom"/>
            <w:hideMark/>
          </w:tcPr>
          <w:p w14:paraId="3CFEDBB5"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11 </w:t>
            </w:r>
          </w:p>
        </w:tc>
        <w:tc>
          <w:tcPr>
            <w:tcW w:w="880" w:type="dxa"/>
            <w:tcBorders>
              <w:top w:val="nil"/>
              <w:left w:val="nil"/>
              <w:bottom w:val="single" w:sz="4" w:space="0" w:color="auto"/>
              <w:right w:val="single" w:sz="4" w:space="0" w:color="auto"/>
            </w:tcBorders>
            <w:shd w:val="clear" w:color="auto" w:fill="auto"/>
            <w:noWrap/>
            <w:vAlign w:val="bottom"/>
            <w:hideMark/>
          </w:tcPr>
          <w:p w14:paraId="183F7DBB"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14,721 </w:t>
            </w:r>
          </w:p>
        </w:tc>
        <w:tc>
          <w:tcPr>
            <w:tcW w:w="164" w:type="dxa"/>
            <w:gridSpan w:val="2"/>
            <w:tcBorders>
              <w:top w:val="nil"/>
              <w:left w:val="nil"/>
              <w:bottom w:val="nil"/>
              <w:right w:val="nil"/>
            </w:tcBorders>
            <w:shd w:val="clear" w:color="auto" w:fill="auto"/>
            <w:noWrap/>
            <w:vAlign w:val="bottom"/>
            <w:hideMark/>
          </w:tcPr>
          <w:p w14:paraId="56C733A4" w14:textId="77777777"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195" w:type="dxa"/>
            <w:tcBorders>
              <w:top w:val="nil"/>
              <w:left w:val="single" w:sz="4" w:space="0" w:color="auto"/>
              <w:bottom w:val="nil"/>
              <w:right w:val="nil"/>
            </w:tcBorders>
            <w:shd w:val="clear" w:color="auto" w:fill="auto"/>
            <w:noWrap/>
            <w:vAlign w:val="bottom"/>
            <w:hideMark/>
          </w:tcPr>
          <w:p w14:paraId="33150A13" w14:textId="77777777" w:rsidR="001034B8" w:rsidRPr="00530029" w:rsidRDefault="001034B8" w:rsidP="001034B8">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7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30392B"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11 </w:t>
            </w:r>
          </w:p>
        </w:tc>
        <w:tc>
          <w:tcPr>
            <w:tcW w:w="791" w:type="dxa"/>
            <w:gridSpan w:val="2"/>
            <w:tcBorders>
              <w:top w:val="single" w:sz="4" w:space="0" w:color="auto"/>
              <w:left w:val="nil"/>
              <w:bottom w:val="single" w:sz="4" w:space="0" w:color="auto"/>
              <w:right w:val="single" w:sz="4" w:space="0" w:color="auto"/>
            </w:tcBorders>
            <w:shd w:val="clear" w:color="auto" w:fill="auto"/>
            <w:noWrap/>
            <w:vAlign w:val="bottom"/>
            <w:hideMark/>
          </w:tcPr>
          <w:p w14:paraId="5A0DFE49"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0,329 </w:t>
            </w:r>
          </w:p>
        </w:tc>
      </w:tr>
      <w:tr w:rsidR="00E62EBB" w:rsidRPr="00530029" w14:paraId="7E74D033" w14:textId="77777777" w:rsidTr="00E62EBB">
        <w:trPr>
          <w:trHeight w:val="250"/>
          <w:jc w:val="center"/>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93A08B2"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12 </w:t>
            </w:r>
          </w:p>
        </w:tc>
        <w:tc>
          <w:tcPr>
            <w:tcW w:w="938" w:type="dxa"/>
            <w:tcBorders>
              <w:top w:val="nil"/>
              <w:left w:val="nil"/>
              <w:bottom w:val="single" w:sz="4" w:space="0" w:color="auto"/>
              <w:right w:val="single" w:sz="4" w:space="0" w:color="auto"/>
            </w:tcBorders>
            <w:shd w:val="clear" w:color="auto" w:fill="auto"/>
            <w:noWrap/>
            <w:vAlign w:val="bottom"/>
            <w:hideMark/>
          </w:tcPr>
          <w:p w14:paraId="126C5807"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14,812 </w:t>
            </w:r>
          </w:p>
        </w:tc>
        <w:tc>
          <w:tcPr>
            <w:tcW w:w="148" w:type="dxa"/>
            <w:tcBorders>
              <w:top w:val="nil"/>
              <w:left w:val="nil"/>
              <w:bottom w:val="nil"/>
              <w:right w:val="nil"/>
            </w:tcBorders>
            <w:shd w:val="clear" w:color="auto" w:fill="auto"/>
            <w:noWrap/>
            <w:vAlign w:val="bottom"/>
            <w:hideMark/>
          </w:tcPr>
          <w:p w14:paraId="6179C355" w14:textId="77777777"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738" w:type="dxa"/>
            <w:tcBorders>
              <w:top w:val="nil"/>
              <w:left w:val="single" w:sz="4" w:space="0" w:color="auto"/>
              <w:bottom w:val="single" w:sz="4" w:space="0" w:color="auto"/>
              <w:right w:val="single" w:sz="4" w:space="0" w:color="auto"/>
            </w:tcBorders>
            <w:shd w:val="clear" w:color="auto" w:fill="auto"/>
            <w:noWrap/>
            <w:vAlign w:val="bottom"/>
            <w:hideMark/>
          </w:tcPr>
          <w:p w14:paraId="174775F6"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12 </w:t>
            </w:r>
          </w:p>
        </w:tc>
        <w:tc>
          <w:tcPr>
            <w:tcW w:w="880" w:type="dxa"/>
            <w:tcBorders>
              <w:top w:val="nil"/>
              <w:left w:val="nil"/>
              <w:bottom w:val="single" w:sz="4" w:space="0" w:color="auto"/>
              <w:right w:val="single" w:sz="4" w:space="0" w:color="auto"/>
            </w:tcBorders>
            <w:shd w:val="clear" w:color="auto" w:fill="auto"/>
            <w:noWrap/>
            <w:vAlign w:val="bottom"/>
            <w:hideMark/>
          </w:tcPr>
          <w:p w14:paraId="2B852F4B"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14,812 </w:t>
            </w:r>
          </w:p>
        </w:tc>
        <w:tc>
          <w:tcPr>
            <w:tcW w:w="164" w:type="dxa"/>
            <w:gridSpan w:val="2"/>
            <w:tcBorders>
              <w:top w:val="nil"/>
              <w:left w:val="nil"/>
              <w:bottom w:val="nil"/>
              <w:right w:val="nil"/>
            </w:tcBorders>
            <w:shd w:val="clear" w:color="auto" w:fill="auto"/>
            <w:noWrap/>
            <w:vAlign w:val="bottom"/>
            <w:hideMark/>
          </w:tcPr>
          <w:p w14:paraId="2F740A51" w14:textId="77777777"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195" w:type="dxa"/>
            <w:tcBorders>
              <w:top w:val="nil"/>
              <w:left w:val="single" w:sz="4" w:space="0" w:color="auto"/>
              <w:bottom w:val="nil"/>
              <w:right w:val="nil"/>
            </w:tcBorders>
            <w:shd w:val="clear" w:color="auto" w:fill="auto"/>
            <w:noWrap/>
            <w:vAlign w:val="bottom"/>
            <w:hideMark/>
          </w:tcPr>
          <w:p w14:paraId="11BC9680" w14:textId="77777777" w:rsidR="001034B8" w:rsidRPr="00530029" w:rsidRDefault="001034B8" w:rsidP="001034B8">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778" w:type="dxa"/>
            <w:tcBorders>
              <w:top w:val="nil"/>
              <w:left w:val="single" w:sz="4" w:space="0" w:color="auto"/>
              <w:bottom w:val="single" w:sz="4" w:space="0" w:color="auto"/>
              <w:right w:val="single" w:sz="4" w:space="0" w:color="auto"/>
            </w:tcBorders>
            <w:shd w:val="clear" w:color="auto" w:fill="auto"/>
            <w:noWrap/>
            <w:vAlign w:val="bottom"/>
            <w:hideMark/>
          </w:tcPr>
          <w:p w14:paraId="0AE67482"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12 </w:t>
            </w:r>
          </w:p>
        </w:tc>
        <w:tc>
          <w:tcPr>
            <w:tcW w:w="791" w:type="dxa"/>
            <w:gridSpan w:val="2"/>
            <w:tcBorders>
              <w:top w:val="nil"/>
              <w:left w:val="nil"/>
              <w:bottom w:val="single" w:sz="4" w:space="0" w:color="auto"/>
              <w:right w:val="single" w:sz="4" w:space="0" w:color="auto"/>
            </w:tcBorders>
            <w:shd w:val="clear" w:color="auto" w:fill="auto"/>
            <w:noWrap/>
            <w:vAlign w:val="bottom"/>
            <w:hideMark/>
          </w:tcPr>
          <w:p w14:paraId="4610680F"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0,420 </w:t>
            </w:r>
          </w:p>
        </w:tc>
      </w:tr>
      <w:tr w:rsidR="00E62EBB" w:rsidRPr="00530029" w14:paraId="79E855AA" w14:textId="77777777" w:rsidTr="00E62EBB">
        <w:trPr>
          <w:trHeight w:val="250"/>
          <w:jc w:val="center"/>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264430A"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13 </w:t>
            </w:r>
          </w:p>
        </w:tc>
        <w:tc>
          <w:tcPr>
            <w:tcW w:w="938" w:type="dxa"/>
            <w:tcBorders>
              <w:top w:val="nil"/>
              <w:left w:val="nil"/>
              <w:bottom w:val="single" w:sz="4" w:space="0" w:color="auto"/>
              <w:right w:val="single" w:sz="4" w:space="0" w:color="auto"/>
            </w:tcBorders>
            <w:shd w:val="clear" w:color="auto" w:fill="auto"/>
            <w:noWrap/>
            <w:vAlign w:val="bottom"/>
            <w:hideMark/>
          </w:tcPr>
          <w:p w14:paraId="3B6CC30E"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15,220 </w:t>
            </w:r>
          </w:p>
        </w:tc>
        <w:tc>
          <w:tcPr>
            <w:tcW w:w="148" w:type="dxa"/>
            <w:tcBorders>
              <w:top w:val="nil"/>
              <w:left w:val="nil"/>
              <w:bottom w:val="nil"/>
              <w:right w:val="nil"/>
            </w:tcBorders>
            <w:shd w:val="clear" w:color="auto" w:fill="auto"/>
            <w:noWrap/>
            <w:vAlign w:val="bottom"/>
            <w:hideMark/>
          </w:tcPr>
          <w:p w14:paraId="5683C38E" w14:textId="77777777"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738" w:type="dxa"/>
            <w:tcBorders>
              <w:top w:val="nil"/>
              <w:left w:val="single" w:sz="4" w:space="0" w:color="auto"/>
              <w:bottom w:val="single" w:sz="4" w:space="0" w:color="auto"/>
              <w:right w:val="single" w:sz="4" w:space="0" w:color="auto"/>
            </w:tcBorders>
            <w:shd w:val="clear" w:color="auto" w:fill="auto"/>
            <w:noWrap/>
            <w:vAlign w:val="bottom"/>
            <w:hideMark/>
          </w:tcPr>
          <w:p w14:paraId="17F205C4"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13 </w:t>
            </w:r>
          </w:p>
        </w:tc>
        <w:tc>
          <w:tcPr>
            <w:tcW w:w="880" w:type="dxa"/>
            <w:tcBorders>
              <w:top w:val="nil"/>
              <w:left w:val="nil"/>
              <w:bottom w:val="single" w:sz="4" w:space="0" w:color="auto"/>
              <w:right w:val="single" w:sz="4" w:space="0" w:color="auto"/>
            </w:tcBorders>
            <w:shd w:val="clear" w:color="auto" w:fill="auto"/>
            <w:noWrap/>
            <w:vAlign w:val="bottom"/>
            <w:hideMark/>
          </w:tcPr>
          <w:p w14:paraId="3AD3E840"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15,220 </w:t>
            </w:r>
          </w:p>
        </w:tc>
        <w:tc>
          <w:tcPr>
            <w:tcW w:w="164" w:type="dxa"/>
            <w:gridSpan w:val="2"/>
            <w:tcBorders>
              <w:top w:val="nil"/>
              <w:left w:val="nil"/>
              <w:bottom w:val="nil"/>
              <w:right w:val="nil"/>
            </w:tcBorders>
            <w:shd w:val="clear" w:color="auto" w:fill="auto"/>
            <w:noWrap/>
            <w:vAlign w:val="bottom"/>
            <w:hideMark/>
          </w:tcPr>
          <w:p w14:paraId="6E81B3FE" w14:textId="77777777"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195" w:type="dxa"/>
            <w:tcBorders>
              <w:top w:val="nil"/>
              <w:left w:val="single" w:sz="4" w:space="0" w:color="auto"/>
              <w:bottom w:val="nil"/>
              <w:right w:val="nil"/>
            </w:tcBorders>
            <w:shd w:val="clear" w:color="auto" w:fill="auto"/>
            <w:noWrap/>
            <w:vAlign w:val="bottom"/>
            <w:hideMark/>
          </w:tcPr>
          <w:p w14:paraId="00E301D3" w14:textId="77777777" w:rsidR="001034B8" w:rsidRPr="00530029" w:rsidRDefault="001034B8" w:rsidP="001034B8">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778" w:type="dxa"/>
            <w:tcBorders>
              <w:top w:val="nil"/>
              <w:left w:val="single" w:sz="4" w:space="0" w:color="auto"/>
              <w:bottom w:val="single" w:sz="4" w:space="0" w:color="auto"/>
              <w:right w:val="single" w:sz="4" w:space="0" w:color="auto"/>
            </w:tcBorders>
            <w:shd w:val="clear" w:color="auto" w:fill="auto"/>
            <w:noWrap/>
            <w:vAlign w:val="bottom"/>
            <w:hideMark/>
          </w:tcPr>
          <w:p w14:paraId="1FC9BA85"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13 </w:t>
            </w:r>
          </w:p>
        </w:tc>
        <w:tc>
          <w:tcPr>
            <w:tcW w:w="791" w:type="dxa"/>
            <w:gridSpan w:val="2"/>
            <w:tcBorders>
              <w:top w:val="nil"/>
              <w:left w:val="nil"/>
              <w:bottom w:val="single" w:sz="4" w:space="0" w:color="auto"/>
              <w:right w:val="single" w:sz="4" w:space="0" w:color="auto"/>
            </w:tcBorders>
            <w:shd w:val="clear" w:color="auto" w:fill="auto"/>
            <w:noWrap/>
            <w:vAlign w:val="bottom"/>
            <w:hideMark/>
          </w:tcPr>
          <w:p w14:paraId="19054302"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0,828 </w:t>
            </w:r>
          </w:p>
        </w:tc>
      </w:tr>
      <w:tr w:rsidR="00E62EBB" w:rsidRPr="00530029" w14:paraId="43273D70" w14:textId="77777777" w:rsidTr="00E62EBB">
        <w:trPr>
          <w:trHeight w:val="250"/>
          <w:jc w:val="center"/>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2B4A36"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14 </w:t>
            </w:r>
          </w:p>
        </w:tc>
        <w:tc>
          <w:tcPr>
            <w:tcW w:w="938" w:type="dxa"/>
            <w:tcBorders>
              <w:top w:val="nil"/>
              <w:left w:val="nil"/>
              <w:bottom w:val="single" w:sz="4" w:space="0" w:color="auto"/>
              <w:right w:val="single" w:sz="4" w:space="0" w:color="auto"/>
            </w:tcBorders>
            <w:shd w:val="clear" w:color="auto" w:fill="auto"/>
            <w:noWrap/>
            <w:vAlign w:val="bottom"/>
            <w:hideMark/>
          </w:tcPr>
          <w:p w14:paraId="54CAEDFB"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15,627 </w:t>
            </w:r>
          </w:p>
        </w:tc>
        <w:tc>
          <w:tcPr>
            <w:tcW w:w="148" w:type="dxa"/>
            <w:tcBorders>
              <w:top w:val="nil"/>
              <w:left w:val="nil"/>
              <w:bottom w:val="nil"/>
              <w:right w:val="nil"/>
            </w:tcBorders>
            <w:shd w:val="clear" w:color="auto" w:fill="auto"/>
            <w:noWrap/>
            <w:vAlign w:val="bottom"/>
            <w:hideMark/>
          </w:tcPr>
          <w:p w14:paraId="08189366" w14:textId="77777777"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738" w:type="dxa"/>
            <w:tcBorders>
              <w:top w:val="nil"/>
              <w:left w:val="single" w:sz="4" w:space="0" w:color="auto"/>
              <w:bottom w:val="single" w:sz="4" w:space="0" w:color="auto"/>
              <w:right w:val="single" w:sz="4" w:space="0" w:color="auto"/>
            </w:tcBorders>
            <w:shd w:val="clear" w:color="auto" w:fill="auto"/>
            <w:noWrap/>
            <w:vAlign w:val="bottom"/>
            <w:hideMark/>
          </w:tcPr>
          <w:p w14:paraId="31DB6208"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14 </w:t>
            </w:r>
          </w:p>
        </w:tc>
        <w:tc>
          <w:tcPr>
            <w:tcW w:w="880" w:type="dxa"/>
            <w:tcBorders>
              <w:top w:val="nil"/>
              <w:left w:val="nil"/>
              <w:bottom w:val="single" w:sz="4" w:space="0" w:color="auto"/>
              <w:right w:val="single" w:sz="4" w:space="0" w:color="auto"/>
            </w:tcBorders>
            <w:shd w:val="clear" w:color="auto" w:fill="auto"/>
            <w:noWrap/>
            <w:vAlign w:val="bottom"/>
            <w:hideMark/>
          </w:tcPr>
          <w:p w14:paraId="484CACAA"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15,627 </w:t>
            </w:r>
          </w:p>
        </w:tc>
        <w:tc>
          <w:tcPr>
            <w:tcW w:w="164" w:type="dxa"/>
            <w:gridSpan w:val="2"/>
            <w:tcBorders>
              <w:top w:val="nil"/>
              <w:left w:val="nil"/>
              <w:bottom w:val="nil"/>
              <w:right w:val="nil"/>
            </w:tcBorders>
            <w:shd w:val="clear" w:color="auto" w:fill="auto"/>
            <w:noWrap/>
            <w:vAlign w:val="bottom"/>
            <w:hideMark/>
          </w:tcPr>
          <w:p w14:paraId="4088D4D8" w14:textId="77777777"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195" w:type="dxa"/>
            <w:tcBorders>
              <w:top w:val="nil"/>
              <w:left w:val="single" w:sz="4" w:space="0" w:color="auto"/>
              <w:bottom w:val="nil"/>
              <w:right w:val="nil"/>
            </w:tcBorders>
            <w:shd w:val="clear" w:color="auto" w:fill="auto"/>
            <w:noWrap/>
            <w:vAlign w:val="bottom"/>
            <w:hideMark/>
          </w:tcPr>
          <w:p w14:paraId="5C5A2933" w14:textId="77777777" w:rsidR="001034B8" w:rsidRPr="00530029" w:rsidRDefault="001034B8" w:rsidP="001034B8">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778" w:type="dxa"/>
            <w:tcBorders>
              <w:top w:val="nil"/>
              <w:left w:val="single" w:sz="4" w:space="0" w:color="auto"/>
              <w:bottom w:val="single" w:sz="4" w:space="0" w:color="auto"/>
              <w:right w:val="single" w:sz="4" w:space="0" w:color="auto"/>
            </w:tcBorders>
            <w:shd w:val="clear" w:color="auto" w:fill="auto"/>
            <w:noWrap/>
            <w:vAlign w:val="bottom"/>
            <w:hideMark/>
          </w:tcPr>
          <w:p w14:paraId="09EB755A"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14 </w:t>
            </w:r>
          </w:p>
        </w:tc>
        <w:tc>
          <w:tcPr>
            <w:tcW w:w="791" w:type="dxa"/>
            <w:gridSpan w:val="2"/>
            <w:tcBorders>
              <w:top w:val="nil"/>
              <w:left w:val="nil"/>
              <w:bottom w:val="single" w:sz="4" w:space="0" w:color="auto"/>
              <w:right w:val="single" w:sz="4" w:space="0" w:color="auto"/>
            </w:tcBorders>
            <w:shd w:val="clear" w:color="auto" w:fill="auto"/>
            <w:noWrap/>
            <w:vAlign w:val="bottom"/>
            <w:hideMark/>
          </w:tcPr>
          <w:p w14:paraId="2901BFC9"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1,235 </w:t>
            </w:r>
          </w:p>
        </w:tc>
      </w:tr>
      <w:tr w:rsidR="00E62EBB" w:rsidRPr="00530029" w14:paraId="672AA393" w14:textId="77777777" w:rsidTr="00E62EBB">
        <w:trPr>
          <w:trHeight w:val="250"/>
          <w:jc w:val="center"/>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36CCD19"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15 </w:t>
            </w:r>
          </w:p>
        </w:tc>
        <w:tc>
          <w:tcPr>
            <w:tcW w:w="938" w:type="dxa"/>
            <w:tcBorders>
              <w:top w:val="nil"/>
              <w:left w:val="nil"/>
              <w:bottom w:val="single" w:sz="4" w:space="0" w:color="auto"/>
              <w:right w:val="single" w:sz="4" w:space="0" w:color="auto"/>
            </w:tcBorders>
            <w:shd w:val="clear" w:color="auto" w:fill="auto"/>
            <w:noWrap/>
            <w:vAlign w:val="bottom"/>
            <w:hideMark/>
          </w:tcPr>
          <w:p w14:paraId="10052901"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16,142 </w:t>
            </w:r>
          </w:p>
        </w:tc>
        <w:tc>
          <w:tcPr>
            <w:tcW w:w="148" w:type="dxa"/>
            <w:tcBorders>
              <w:top w:val="nil"/>
              <w:left w:val="nil"/>
              <w:bottom w:val="nil"/>
              <w:right w:val="nil"/>
            </w:tcBorders>
            <w:shd w:val="clear" w:color="auto" w:fill="auto"/>
            <w:noWrap/>
            <w:vAlign w:val="bottom"/>
            <w:hideMark/>
          </w:tcPr>
          <w:p w14:paraId="3102B493" w14:textId="77777777"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738" w:type="dxa"/>
            <w:tcBorders>
              <w:top w:val="nil"/>
              <w:left w:val="single" w:sz="4" w:space="0" w:color="auto"/>
              <w:bottom w:val="single" w:sz="4" w:space="0" w:color="auto"/>
              <w:right w:val="single" w:sz="4" w:space="0" w:color="auto"/>
            </w:tcBorders>
            <w:shd w:val="clear" w:color="auto" w:fill="auto"/>
            <w:noWrap/>
            <w:vAlign w:val="bottom"/>
            <w:hideMark/>
          </w:tcPr>
          <w:p w14:paraId="4FD6417F"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15 </w:t>
            </w:r>
          </w:p>
        </w:tc>
        <w:tc>
          <w:tcPr>
            <w:tcW w:w="880" w:type="dxa"/>
            <w:tcBorders>
              <w:top w:val="nil"/>
              <w:left w:val="nil"/>
              <w:bottom w:val="single" w:sz="4" w:space="0" w:color="auto"/>
              <w:right w:val="single" w:sz="4" w:space="0" w:color="auto"/>
            </w:tcBorders>
            <w:shd w:val="clear" w:color="auto" w:fill="auto"/>
            <w:noWrap/>
            <w:vAlign w:val="bottom"/>
            <w:hideMark/>
          </w:tcPr>
          <w:p w14:paraId="699B73A9"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16,142 </w:t>
            </w:r>
          </w:p>
        </w:tc>
        <w:tc>
          <w:tcPr>
            <w:tcW w:w="164" w:type="dxa"/>
            <w:gridSpan w:val="2"/>
            <w:tcBorders>
              <w:top w:val="nil"/>
              <w:left w:val="nil"/>
              <w:bottom w:val="nil"/>
              <w:right w:val="nil"/>
            </w:tcBorders>
            <w:shd w:val="clear" w:color="auto" w:fill="auto"/>
            <w:noWrap/>
            <w:vAlign w:val="bottom"/>
            <w:hideMark/>
          </w:tcPr>
          <w:p w14:paraId="0BB10206" w14:textId="77777777"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195" w:type="dxa"/>
            <w:tcBorders>
              <w:top w:val="nil"/>
              <w:left w:val="single" w:sz="4" w:space="0" w:color="auto"/>
              <w:bottom w:val="nil"/>
              <w:right w:val="nil"/>
            </w:tcBorders>
            <w:shd w:val="clear" w:color="auto" w:fill="auto"/>
            <w:noWrap/>
            <w:vAlign w:val="bottom"/>
            <w:hideMark/>
          </w:tcPr>
          <w:p w14:paraId="20A75BAD" w14:textId="77777777" w:rsidR="001034B8" w:rsidRPr="00530029" w:rsidRDefault="001034B8" w:rsidP="001034B8">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778" w:type="dxa"/>
            <w:tcBorders>
              <w:top w:val="nil"/>
              <w:left w:val="single" w:sz="4" w:space="0" w:color="auto"/>
              <w:bottom w:val="single" w:sz="4" w:space="0" w:color="auto"/>
              <w:right w:val="single" w:sz="4" w:space="0" w:color="auto"/>
            </w:tcBorders>
            <w:shd w:val="clear" w:color="auto" w:fill="auto"/>
            <w:noWrap/>
            <w:vAlign w:val="bottom"/>
            <w:hideMark/>
          </w:tcPr>
          <w:p w14:paraId="4F74B7DD"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15 </w:t>
            </w:r>
          </w:p>
        </w:tc>
        <w:tc>
          <w:tcPr>
            <w:tcW w:w="791" w:type="dxa"/>
            <w:gridSpan w:val="2"/>
            <w:tcBorders>
              <w:top w:val="nil"/>
              <w:left w:val="nil"/>
              <w:bottom w:val="single" w:sz="4" w:space="0" w:color="auto"/>
              <w:right w:val="single" w:sz="4" w:space="0" w:color="auto"/>
            </w:tcBorders>
            <w:shd w:val="clear" w:color="auto" w:fill="auto"/>
            <w:noWrap/>
            <w:vAlign w:val="bottom"/>
            <w:hideMark/>
          </w:tcPr>
          <w:p w14:paraId="4BBE8615"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1,750 </w:t>
            </w:r>
          </w:p>
        </w:tc>
      </w:tr>
      <w:tr w:rsidR="00E62EBB" w:rsidRPr="00530029" w14:paraId="4093743F" w14:textId="77777777" w:rsidTr="00E62EBB">
        <w:trPr>
          <w:trHeight w:val="250"/>
          <w:jc w:val="center"/>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D23756"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16 </w:t>
            </w:r>
          </w:p>
        </w:tc>
        <w:tc>
          <w:tcPr>
            <w:tcW w:w="938" w:type="dxa"/>
            <w:tcBorders>
              <w:top w:val="nil"/>
              <w:left w:val="nil"/>
              <w:bottom w:val="single" w:sz="4" w:space="0" w:color="auto"/>
              <w:right w:val="single" w:sz="4" w:space="0" w:color="auto"/>
            </w:tcBorders>
            <w:shd w:val="clear" w:color="auto" w:fill="auto"/>
            <w:noWrap/>
            <w:vAlign w:val="bottom"/>
            <w:hideMark/>
          </w:tcPr>
          <w:p w14:paraId="40A1BE86"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16,352 </w:t>
            </w:r>
          </w:p>
        </w:tc>
        <w:tc>
          <w:tcPr>
            <w:tcW w:w="148" w:type="dxa"/>
            <w:tcBorders>
              <w:top w:val="nil"/>
              <w:left w:val="nil"/>
              <w:bottom w:val="nil"/>
              <w:right w:val="nil"/>
            </w:tcBorders>
            <w:shd w:val="clear" w:color="auto" w:fill="auto"/>
            <w:noWrap/>
            <w:vAlign w:val="bottom"/>
            <w:hideMark/>
          </w:tcPr>
          <w:p w14:paraId="1817042E" w14:textId="77777777"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738" w:type="dxa"/>
            <w:tcBorders>
              <w:top w:val="nil"/>
              <w:left w:val="single" w:sz="4" w:space="0" w:color="auto"/>
              <w:bottom w:val="single" w:sz="4" w:space="0" w:color="auto"/>
              <w:right w:val="single" w:sz="4" w:space="0" w:color="auto"/>
            </w:tcBorders>
            <w:shd w:val="clear" w:color="auto" w:fill="auto"/>
            <w:noWrap/>
            <w:vAlign w:val="bottom"/>
            <w:hideMark/>
          </w:tcPr>
          <w:p w14:paraId="460828F6"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16 </w:t>
            </w:r>
          </w:p>
        </w:tc>
        <w:tc>
          <w:tcPr>
            <w:tcW w:w="880" w:type="dxa"/>
            <w:tcBorders>
              <w:top w:val="nil"/>
              <w:left w:val="nil"/>
              <w:bottom w:val="single" w:sz="4" w:space="0" w:color="auto"/>
              <w:right w:val="single" w:sz="4" w:space="0" w:color="auto"/>
            </w:tcBorders>
            <w:shd w:val="clear" w:color="auto" w:fill="auto"/>
            <w:noWrap/>
            <w:vAlign w:val="bottom"/>
            <w:hideMark/>
          </w:tcPr>
          <w:p w14:paraId="42182D73"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16,352 </w:t>
            </w:r>
          </w:p>
        </w:tc>
        <w:tc>
          <w:tcPr>
            <w:tcW w:w="164" w:type="dxa"/>
            <w:gridSpan w:val="2"/>
            <w:tcBorders>
              <w:top w:val="nil"/>
              <w:left w:val="nil"/>
              <w:bottom w:val="nil"/>
              <w:right w:val="nil"/>
            </w:tcBorders>
            <w:shd w:val="clear" w:color="auto" w:fill="auto"/>
            <w:noWrap/>
            <w:vAlign w:val="bottom"/>
            <w:hideMark/>
          </w:tcPr>
          <w:p w14:paraId="34946494" w14:textId="77777777"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195" w:type="dxa"/>
            <w:tcBorders>
              <w:top w:val="nil"/>
              <w:left w:val="single" w:sz="4" w:space="0" w:color="auto"/>
              <w:bottom w:val="nil"/>
              <w:right w:val="nil"/>
            </w:tcBorders>
            <w:shd w:val="clear" w:color="auto" w:fill="auto"/>
            <w:noWrap/>
            <w:vAlign w:val="bottom"/>
            <w:hideMark/>
          </w:tcPr>
          <w:p w14:paraId="3BE34667" w14:textId="77777777" w:rsidR="001034B8" w:rsidRPr="00530029" w:rsidRDefault="001034B8" w:rsidP="001034B8">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778" w:type="dxa"/>
            <w:tcBorders>
              <w:top w:val="nil"/>
              <w:left w:val="single" w:sz="4" w:space="0" w:color="auto"/>
              <w:bottom w:val="single" w:sz="4" w:space="0" w:color="auto"/>
              <w:right w:val="single" w:sz="4" w:space="0" w:color="auto"/>
            </w:tcBorders>
            <w:shd w:val="clear" w:color="auto" w:fill="auto"/>
            <w:noWrap/>
            <w:vAlign w:val="bottom"/>
            <w:hideMark/>
          </w:tcPr>
          <w:p w14:paraId="19109F95"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16 </w:t>
            </w:r>
          </w:p>
        </w:tc>
        <w:tc>
          <w:tcPr>
            <w:tcW w:w="791" w:type="dxa"/>
            <w:gridSpan w:val="2"/>
            <w:tcBorders>
              <w:top w:val="nil"/>
              <w:left w:val="nil"/>
              <w:bottom w:val="single" w:sz="4" w:space="0" w:color="auto"/>
              <w:right w:val="single" w:sz="4" w:space="0" w:color="auto"/>
            </w:tcBorders>
            <w:shd w:val="clear" w:color="auto" w:fill="auto"/>
            <w:noWrap/>
            <w:vAlign w:val="bottom"/>
            <w:hideMark/>
          </w:tcPr>
          <w:p w14:paraId="2DC6D984"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1,960 </w:t>
            </w:r>
          </w:p>
        </w:tc>
      </w:tr>
      <w:tr w:rsidR="00E62EBB" w:rsidRPr="00530029" w14:paraId="7CEDF9B3" w14:textId="77777777" w:rsidTr="00E62EBB">
        <w:trPr>
          <w:trHeight w:val="250"/>
          <w:jc w:val="center"/>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3DF5FD0"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17 </w:t>
            </w:r>
          </w:p>
        </w:tc>
        <w:tc>
          <w:tcPr>
            <w:tcW w:w="938" w:type="dxa"/>
            <w:tcBorders>
              <w:top w:val="nil"/>
              <w:left w:val="nil"/>
              <w:bottom w:val="single" w:sz="4" w:space="0" w:color="auto"/>
              <w:right w:val="single" w:sz="4" w:space="0" w:color="auto"/>
            </w:tcBorders>
            <w:shd w:val="clear" w:color="auto" w:fill="auto"/>
            <w:noWrap/>
            <w:vAlign w:val="bottom"/>
            <w:hideMark/>
          </w:tcPr>
          <w:p w14:paraId="5B6BA0FA"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16,460 </w:t>
            </w:r>
          </w:p>
        </w:tc>
        <w:tc>
          <w:tcPr>
            <w:tcW w:w="148" w:type="dxa"/>
            <w:tcBorders>
              <w:top w:val="nil"/>
              <w:left w:val="nil"/>
              <w:bottom w:val="nil"/>
              <w:right w:val="nil"/>
            </w:tcBorders>
            <w:shd w:val="clear" w:color="auto" w:fill="auto"/>
            <w:noWrap/>
            <w:vAlign w:val="bottom"/>
            <w:hideMark/>
          </w:tcPr>
          <w:p w14:paraId="4B0B7EBF" w14:textId="77777777"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738" w:type="dxa"/>
            <w:tcBorders>
              <w:top w:val="nil"/>
              <w:left w:val="single" w:sz="4" w:space="0" w:color="auto"/>
              <w:bottom w:val="single" w:sz="4" w:space="0" w:color="auto"/>
              <w:right w:val="single" w:sz="4" w:space="0" w:color="auto"/>
            </w:tcBorders>
            <w:shd w:val="clear" w:color="auto" w:fill="auto"/>
            <w:noWrap/>
            <w:vAlign w:val="bottom"/>
            <w:hideMark/>
          </w:tcPr>
          <w:p w14:paraId="130A3CC2"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17 </w:t>
            </w:r>
          </w:p>
        </w:tc>
        <w:tc>
          <w:tcPr>
            <w:tcW w:w="880" w:type="dxa"/>
            <w:tcBorders>
              <w:top w:val="nil"/>
              <w:left w:val="nil"/>
              <w:bottom w:val="single" w:sz="4" w:space="0" w:color="auto"/>
              <w:right w:val="single" w:sz="4" w:space="0" w:color="auto"/>
            </w:tcBorders>
            <w:shd w:val="clear" w:color="auto" w:fill="auto"/>
            <w:noWrap/>
            <w:vAlign w:val="bottom"/>
            <w:hideMark/>
          </w:tcPr>
          <w:p w14:paraId="0AC98A03"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16,460 </w:t>
            </w:r>
          </w:p>
        </w:tc>
        <w:tc>
          <w:tcPr>
            <w:tcW w:w="164" w:type="dxa"/>
            <w:gridSpan w:val="2"/>
            <w:tcBorders>
              <w:top w:val="nil"/>
              <w:left w:val="nil"/>
              <w:bottom w:val="nil"/>
              <w:right w:val="nil"/>
            </w:tcBorders>
            <w:shd w:val="clear" w:color="auto" w:fill="auto"/>
            <w:noWrap/>
            <w:vAlign w:val="bottom"/>
            <w:hideMark/>
          </w:tcPr>
          <w:p w14:paraId="70C05D05" w14:textId="77777777"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195" w:type="dxa"/>
            <w:tcBorders>
              <w:top w:val="nil"/>
              <w:left w:val="single" w:sz="4" w:space="0" w:color="auto"/>
              <w:bottom w:val="nil"/>
              <w:right w:val="nil"/>
            </w:tcBorders>
            <w:shd w:val="clear" w:color="auto" w:fill="auto"/>
            <w:noWrap/>
            <w:vAlign w:val="bottom"/>
            <w:hideMark/>
          </w:tcPr>
          <w:p w14:paraId="1EBD710B" w14:textId="77777777" w:rsidR="001034B8" w:rsidRPr="00530029" w:rsidRDefault="001034B8" w:rsidP="001034B8">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778" w:type="dxa"/>
            <w:tcBorders>
              <w:top w:val="nil"/>
              <w:left w:val="single" w:sz="4" w:space="0" w:color="auto"/>
              <w:bottom w:val="single" w:sz="4" w:space="0" w:color="auto"/>
              <w:right w:val="single" w:sz="4" w:space="0" w:color="auto"/>
            </w:tcBorders>
            <w:shd w:val="clear" w:color="auto" w:fill="auto"/>
            <w:noWrap/>
            <w:vAlign w:val="bottom"/>
            <w:hideMark/>
          </w:tcPr>
          <w:p w14:paraId="64A67FF2"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17 </w:t>
            </w:r>
          </w:p>
        </w:tc>
        <w:tc>
          <w:tcPr>
            <w:tcW w:w="791" w:type="dxa"/>
            <w:gridSpan w:val="2"/>
            <w:tcBorders>
              <w:top w:val="nil"/>
              <w:left w:val="nil"/>
              <w:bottom w:val="single" w:sz="4" w:space="0" w:color="auto"/>
              <w:right w:val="single" w:sz="4" w:space="0" w:color="auto"/>
            </w:tcBorders>
            <w:shd w:val="clear" w:color="auto" w:fill="auto"/>
            <w:noWrap/>
            <w:vAlign w:val="bottom"/>
            <w:hideMark/>
          </w:tcPr>
          <w:p w14:paraId="628755A8"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2,068 </w:t>
            </w:r>
          </w:p>
        </w:tc>
      </w:tr>
      <w:tr w:rsidR="00E62EBB" w:rsidRPr="00530029" w14:paraId="6AA131F1" w14:textId="77777777" w:rsidTr="00E62EBB">
        <w:trPr>
          <w:trHeight w:val="250"/>
          <w:jc w:val="center"/>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09148E7"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18 </w:t>
            </w:r>
          </w:p>
        </w:tc>
        <w:tc>
          <w:tcPr>
            <w:tcW w:w="938" w:type="dxa"/>
            <w:tcBorders>
              <w:top w:val="nil"/>
              <w:left w:val="nil"/>
              <w:bottom w:val="single" w:sz="4" w:space="0" w:color="auto"/>
              <w:right w:val="single" w:sz="4" w:space="0" w:color="auto"/>
            </w:tcBorders>
            <w:shd w:val="clear" w:color="auto" w:fill="auto"/>
            <w:noWrap/>
            <w:vAlign w:val="bottom"/>
            <w:hideMark/>
          </w:tcPr>
          <w:p w14:paraId="70A6AFF0"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16,752 </w:t>
            </w:r>
          </w:p>
        </w:tc>
        <w:tc>
          <w:tcPr>
            <w:tcW w:w="148" w:type="dxa"/>
            <w:tcBorders>
              <w:top w:val="nil"/>
              <w:left w:val="nil"/>
              <w:bottom w:val="nil"/>
              <w:right w:val="nil"/>
            </w:tcBorders>
            <w:shd w:val="clear" w:color="auto" w:fill="auto"/>
            <w:noWrap/>
            <w:vAlign w:val="bottom"/>
            <w:hideMark/>
          </w:tcPr>
          <w:p w14:paraId="45B88B37" w14:textId="77777777"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738" w:type="dxa"/>
            <w:tcBorders>
              <w:top w:val="nil"/>
              <w:left w:val="single" w:sz="4" w:space="0" w:color="auto"/>
              <w:bottom w:val="single" w:sz="4" w:space="0" w:color="auto"/>
              <w:right w:val="single" w:sz="4" w:space="0" w:color="auto"/>
            </w:tcBorders>
            <w:shd w:val="clear" w:color="auto" w:fill="auto"/>
            <w:noWrap/>
            <w:vAlign w:val="bottom"/>
            <w:hideMark/>
          </w:tcPr>
          <w:p w14:paraId="53C18EBA"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18 </w:t>
            </w:r>
          </w:p>
        </w:tc>
        <w:tc>
          <w:tcPr>
            <w:tcW w:w="880" w:type="dxa"/>
            <w:tcBorders>
              <w:top w:val="nil"/>
              <w:left w:val="nil"/>
              <w:bottom w:val="single" w:sz="4" w:space="0" w:color="auto"/>
              <w:right w:val="single" w:sz="4" w:space="0" w:color="auto"/>
            </w:tcBorders>
            <w:shd w:val="clear" w:color="auto" w:fill="auto"/>
            <w:noWrap/>
            <w:vAlign w:val="bottom"/>
            <w:hideMark/>
          </w:tcPr>
          <w:p w14:paraId="438D55EE"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16,752 </w:t>
            </w:r>
          </w:p>
        </w:tc>
        <w:tc>
          <w:tcPr>
            <w:tcW w:w="164" w:type="dxa"/>
            <w:gridSpan w:val="2"/>
            <w:tcBorders>
              <w:top w:val="nil"/>
              <w:left w:val="nil"/>
              <w:bottom w:val="nil"/>
              <w:right w:val="nil"/>
            </w:tcBorders>
            <w:shd w:val="clear" w:color="auto" w:fill="auto"/>
            <w:noWrap/>
            <w:vAlign w:val="bottom"/>
            <w:hideMark/>
          </w:tcPr>
          <w:p w14:paraId="20265591" w14:textId="77777777"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195" w:type="dxa"/>
            <w:tcBorders>
              <w:top w:val="nil"/>
              <w:left w:val="single" w:sz="4" w:space="0" w:color="auto"/>
              <w:bottom w:val="nil"/>
              <w:right w:val="nil"/>
            </w:tcBorders>
            <w:shd w:val="clear" w:color="auto" w:fill="auto"/>
            <w:noWrap/>
            <w:vAlign w:val="bottom"/>
            <w:hideMark/>
          </w:tcPr>
          <w:p w14:paraId="79AD67CD" w14:textId="77777777" w:rsidR="001034B8" w:rsidRPr="00530029" w:rsidRDefault="001034B8" w:rsidP="001034B8">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778" w:type="dxa"/>
            <w:tcBorders>
              <w:top w:val="nil"/>
              <w:left w:val="single" w:sz="4" w:space="0" w:color="auto"/>
              <w:bottom w:val="single" w:sz="4" w:space="0" w:color="auto"/>
              <w:right w:val="single" w:sz="4" w:space="0" w:color="auto"/>
            </w:tcBorders>
            <w:shd w:val="clear" w:color="auto" w:fill="auto"/>
            <w:noWrap/>
            <w:vAlign w:val="bottom"/>
            <w:hideMark/>
          </w:tcPr>
          <w:p w14:paraId="0C74124C"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18 </w:t>
            </w:r>
          </w:p>
        </w:tc>
        <w:tc>
          <w:tcPr>
            <w:tcW w:w="791" w:type="dxa"/>
            <w:gridSpan w:val="2"/>
            <w:tcBorders>
              <w:top w:val="nil"/>
              <w:left w:val="nil"/>
              <w:bottom w:val="single" w:sz="4" w:space="0" w:color="auto"/>
              <w:right w:val="single" w:sz="4" w:space="0" w:color="auto"/>
            </w:tcBorders>
            <w:shd w:val="clear" w:color="auto" w:fill="auto"/>
            <w:noWrap/>
            <w:vAlign w:val="bottom"/>
            <w:hideMark/>
          </w:tcPr>
          <w:p w14:paraId="5BEE9399" w14:textId="77777777"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2,360 </w:t>
            </w:r>
          </w:p>
        </w:tc>
      </w:tr>
      <w:tr w:rsidR="00E62EBB" w:rsidRPr="00530029" w14:paraId="0E5D306D" w14:textId="77777777" w:rsidTr="00E62EBB">
        <w:trPr>
          <w:trHeight w:val="250"/>
          <w:jc w:val="center"/>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505D0D4" w14:textId="77777777" w:rsidR="001034B8" w:rsidRPr="00530029" w:rsidRDefault="001034B8" w:rsidP="001034B8">
            <w:pPr>
              <w:spacing w:after="0" w:line="240" w:lineRule="auto"/>
              <w:jc w:val="right"/>
              <w:rPr>
                <w:rFonts w:eastAsia="Times New Roman" w:cstheme="minorHAnsi"/>
                <w:color w:val="FF0000"/>
                <w:sz w:val="18"/>
                <w:szCs w:val="18"/>
                <w:lang w:eastAsia="it-IT"/>
              </w:rPr>
            </w:pPr>
            <w:r w:rsidRPr="00530029">
              <w:rPr>
                <w:rFonts w:eastAsia="Times New Roman" w:cstheme="minorHAnsi"/>
                <w:strike/>
                <w:color w:val="FF0000"/>
                <w:sz w:val="18"/>
                <w:szCs w:val="18"/>
                <w:lang w:eastAsia="it-IT"/>
              </w:rPr>
              <w:t xml:space="preserve">19 </w:t>
            </w:r>
          </w:p>
        </w:tc>
        <w:tc>
          <w:tcPr>
            <w:tcW w:w="938" w:type="dxa"/>
            <w:tcBorders>
              <w:top w:val="nil"/>
              <w:left w:val="nil"/>
              <w:bottom w:val="single" w:sz="4" w:space="0" w:color="auto"/>
              <w:right w:val="single" w:sz="4" w:space="0" w:color="auto"/>
            </w:tcBorders>
            <w:shd w:val="clear" w:color="auto" w:fill="auto"/>
            <w:noWrap/>
            <w:vAlign w:val="bottom"/>
            <w:hideMark/>
          </w:tcPr>
          <w:p w14:paraId="0B292C89" w14:textId="77777777" w:rsidR="001034B8" w:rsidRPr="00530029" w:rsidRDefault="001034B8" w:rsidP="001034B8">
            <w:pPr>
              <w:spacing w:after="0" w:line="240" w:lineRule="auto"/>
              <w:jc w:val="right"/>
              <w:rPr>
                <w:rFonts w:eastAsia="Times New Roman" w:cstheme="minorHAnsi"/>
                <w:color w:val="FF0000"/>
                <w:sz w:val="18"/>
                <w:szCs w:val="18"/>
                <w:lang w:eastAsia="it-IT"/>
              </w:rPr>
            </w:pPr>
            <w:r w:rsidRPr="00530029">
              <w:rPr>
                <w:rFonts w:eastAsia="Times New Roman" w:cstheme="minorHAnsi"/>
                <w:strike/>
                <w:color w:val="FF0000"/>
                <w:sz w:val="18"/>
                <w:szCs w:val="18"/>
                <w:lang w:eastAsia="it-IT"/>
              </w:rPr>
              <w:t xml:space="preserve">16,875 </w:t>
            </w:r>
          </w:p>
        </w:tc>
        <w:tc>
          <w:tcPr>
            <w:tcW w:w="148" w:type="dxa"/>
            <w:tcBorders>
              <w:top w:val="nil"/>
              <w:left w:val="nil"/>
              <w:bottom w:val="nil"/>
              <w:right w:val="nil"/>
            </w:tcBorders>
            <w:shd w:val="clear" w:color="auto" w:fill="auto"/>
            <w:noWrap/>
            <w:vAlign w:val="bottom"/>
            <w:hideMark/>
          </w:tcPr>
          <w:p w14:paraId="459E3D3D" w14:textId="77777777"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738" w:type="dxa"/>
            <w:tcBorders>
              <w:top w:val="nil"/>
              <w:left w:val="nil"/>
              <w:bottom w:val="nil"/>
              <w:right w:val="nil"/>
            </w:tcBorders>
            <w:shd w:val="clear" w:color="auto" w:fill="auto"/>
            <w:noWrap/>
            <w:vAlign w:val="bottom"/>
            <w:hideMark/>
          </w:tcPr>
          <w:p w14:paraId="62A03336" w14:textId="77777777" w:rsidR="001034B8" w:rsidRPr="00530029" w:rsidRDefault="001034B8" w:rsidP="001034B8">
            <w:pPr>
              <w:spacing w:after="0" w:line="240" w:lineRule="auto"/>
              <w:rPr>
                <w:rFonts w:eastAsia="Times New Roman" w:cstheme="minorHAnsi"/>
                <w:sz w:val="18"/>
                <w:szCs w:val="18"/>
                <w:lang w:eastAsia="it-IT"/>
              </w:rPr>
            </w:pPr>
          </w:p>
        </w:tc>
        <w:tc>
          <w:tcPr>
            <w:tcW w:w="880" w:type="dxa"/>
            <w:tcBorders>
              <w:top w:val="nil"/>
              <w:left w:val="nil"/>
              <w:bottom w:val="nil"/>
              <w:right w:val="nil"/>
            </w:tcBorders>
            <w:shd w:val="clear" w:color="auto" w:fill="auto"/>
            <w:noWrap/>
            <w:vAlign w:val="bottom"/>
            <w:hideMark/>
          </w:tcPr>
          <w:p w14:paraId="36D98798" w14:textId="77777777" w:rsidR="001034B8" w:rsidRPr="00530029" w:rsidRDefault="001034B8" w:rsidP="001034B8">
            <w:pPr>
              <w:spacing w:after="0" w:line="240" w:lineRule="auto"/>
              <w:rPr>
                <w:rFonts w:eastAsia="Times New Roman" w:cstheme="minorHAnsi"/>
                <w:sz w:val="18"/>
                <w:szCs w:val="18"/>
                <w:lang w:eastAsia="it-IT"/>
              </w:rPr>
            </w:pPr>
          </w:p>
        </w:tc>
        <w:tc>
          <w:tcPr>
            <w:tcW w:w="164" w:type="dxa"/>
            <w:gridSpan w:val="2"/>
            <w:tcBorders>
              <w:top w:val="nil"/>
              <w:left w:val="nil"/>
              <w:bottom w:val="nil"/>
              <w:right w:val="nil"/>
            </w:tcBorders>
            <w:shd w:val="clear" w:color="auto" w:fill="auto"/>
            <w:noWrap/>
            <w:vAlign w:val="bottom"/>
            <w:hideMark/>
          </w:tcPr>
          <w:p w14:paraId="5233980D" w14:textId="77777777" w:rsidR="001034B8" w:rsidRPr="00530029" w:rsidRDefault="001034B8" w:rsidP="001034B8">
            <w:pPr>
              <w:spacing w:after="0" w:line="240" w:lineRule="auto"/>
              <w:rPr>
                <w:rFonts w:eastAsia="Times New Roman" w:cstheme="minorHAnsi"/>
                <w:sz w:val="18"/>
                <w:szCs w:val="18"/>
                <w:lang w:eastAsia="it-IT"/>
              </w:rPr>
            </w:pPr>
          </w:p>
        </w:tc>
        <w:tc>
          <w:tcPr>
            <w:tcW w:w="195" w:type="dxa"/>
            <w:tcBorders>
              <w:top w:val="nil"/>
              <w:left w:val="single" w:sz="4" w:space="0" w:color="auto"/>
              <w:bottom w:val="nil"/>
              <w:right w:val="nil"/>
            </w:tcBorders>
            <w:shd w:val="clear" w:color="auto" w:fill="auto"/>
            <w:noWrap/>
            <w:vAlign w:val="bottom"/>
            <w:hideMark/>
          </w:tcPr>
          <w:p w14:paraId="205D0FA7" w14:textId="77777777" w:rsidR="001034B8" w:rsidRPr="00530029" w:rsidRDefault="001034B8" w:rsidP="001034B8">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778" w:type="dxa"/>
            <w:tcBorders>
              <w:top w:val="nil"/>
              <w:left w:val="nil"/>
              <w:bottom w:val="nil"/>
              <w:right w:val="nil"/>
            </w:tcBorders>
            <w:shd w:val="clear" w:color="auto" w:fill="auto"/>
            <w:noWrap/>
            <w:vAlign w:val="bottom"/>
            <w:hideMark/>
          </w:tcPr>
          <w:p w14:paraId="2D2E46D8" w14:textId="77777777" w:rsidR="001034B8" w:rsidRPr="00530029" w:rsidRDefault="001034B8" w:rsidP="001034B8">
            <w:pPr>
              <w:spacing w:after="0" w:line="240" w:lineRule="auto"/>
              <w:rPr>
                <w:rFonts w:eastAsia="Times New Roman" w:cstheme="minorHAnsi"/>
                <w:color w:val="000000"/>
                <w:sz w:val="18"/>
                <w:szCs w:val="18"/>
                <w:lang w:eastAsia="it-IT"/>
              </w:rPr>
            </w:pPr>
          </w:p>
        </w:tc>
        <w:tc>
          <w:tcPr>
            <w:tcW w:w="791" w:type="dxa"/>
            <w:gridSpan w:val="2"/>
            <w:tcBorders>
              <w:top w:val="nil"/>
              <w:left w:val="nil"/>
              <w:bottom w:val="nil"/>
              <w:right w:val="nil"/>
            </w:tcBorders>
            <w:shd w:val="clear" w:color="auto" w:fill="auto"/>
            <w:noWrap/>
            <w:vAlign w:val="bottom"/>
            <w:hideMark/>
          </w:tcPr>
          <w:p w14:paraId="6360A9C1" w14:textId="77777777" w:rsidR="001034B8" w:rsidRPr="00530029" w:rsidRDefault="001034B8" w:rsidP="001034B8">
            <w:pPr>
              <w:spacing w:after="0" w:line="240" w:lineRule="auto"/>
              <w:rPr>
                <w:rFonts w:eastAsia="Times New Roman" w:cstheme="minorHAnsi"/>
                <w:sz w:val="18"/>
                <w:szCs w:val="18"/>
                <w:lang w:eastAsia="it-IT"/>
              </w:rPr>
            </w:pPr>
          </w:p>
        </w:tc>
      </w:tr>
      <w:tr w:rsidR="00E62EBB" w:rsidRPr="00530029" w14:paraId="51C4BDBB" w14:textId="77777777" w:rsidTr="00E62EBB">
        <w:trPr>
          <w:trHeight w:val="250"/>
          <w:jc w:val="center"/>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177AE0" w14:textId="77777777" w:rsidR="001034B8" w:rsidRPr="00530029" w:rsidRDefault="001034B8" w:rsidP="001034B8">
            <w:pPr>
              <w:spacing w:after="0" w:line="240" w:lineRule="auto"/>
              <w:jc w:val="right"/>
              <w:rPr>
                <w:rFonts w:eastAsia="Times New Roman" w:cstheme="minorHAnsi"/>
                <w:color w:val="FF0000"/>
                <w:sz w:val="18"/>
                <w:szCs w:val="18"/>
                <w:lang w:eastAsia="it-IT"/>
              </w:rPr>
            </w:pPr>
            <w:r w:rsidRPr="00530029">
              <w:rPr>
                <w:rFonts w:eastAsia="Times New Roman" w:cstheme="minorHAnsi"/>
                <w:strike/>
                <w:color w:val="FF0000"/>
                <w:sz w:val="18"/>
                <w:szCs w:val="18"/>
                <w:lang w:eastAsia="it-IT"/>
              </w:rPr>
              <w:t xml:space="preserve">20 </w:t>
            </w:r>
          </w:p>
        </w:tc>
        <w:tc>
          <w:tcPr>
            <w:tcW w:w="938" w:type="dxa"/>
            <w:tcBorders>
              <w:top w:val="nil"/>
              <w:left w:val="nil"/>
              <w:bottom w:val="single" w:sz="4" w:space="0" w:color="auto"/>
              <w:right w:val="single" w:sz="4" w:space="0" w:color="auto"/>
            </w:tcBorders>
            <w:shd w:val="clear" w:color="auto" w:fill="auto"/>
            <w:noWrap/>
            <w:vAlign w:val="bottom"/>
            <w:hideMark/>
          </w:tcPr>
          <w:p w14:paraId="27D19C79" w14:textId="77777777" w:rsidR="001034B8" w:rsidRPr="00530029" w:rsidRDefault="001034B8" w:rsidP="001034B8">
            <w:pPr>
              <w:spacing w:after="0" w:line="240" w:lineRule="auto"/>
              <w:jc w:val="right"/>
              <w:rPr>
                <w:rFonts w:eastAsia="Times New Roman" w:cstheme="minorHAnsi"/>
                <w:color w:val="FF0000"/>
                <w:sz w:val="18"/>
                <w:szCs w:val="18"/>
                <w:lang w:eastAsia="it-IT"/>
              </w:rPr>
            </w:pPr>
            <w:r w:rsidRPr="00530029">
              <w:rPr>
                <w:rFonts w:eastAsia="Times New Roman" w:cstheme="minorHAnsi"/>
                <w:strike/>
                <w:color w:val="FF0000"/>
                <w:sz w:val="18"/>
                <w:szCs w:val="18"/>
                <w:lang w:eastAsia="it-IT"/>
              </w:rPr>
              <w:t xml:space="preserve">16,992 </w:t>
            </w:r>
          </w:p>
        </w:tc>
        <w:tc>
          <w:tcPr>
            <w:tcW w:w="148" w:type="dxa"/>
            <w:tcBorders>
              <w:top w:val="nil"/>
              <w:left w:val="nil"/>
              <w:bottom w:val="nil"/>
              <w:right w:val="nil"/>
            </w:tcBorders>
            <w:shd w:val="clear" w:color="auto" w:fill="auto"/>
            <w:noWrap/>
            <w:vAlign w:val="bottom"/>
            <w:hideMark/>
          </w:tcPr>
          <w:p w14:paraId="2F6C912B" w14:textId="77777777"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738" w:type="dxa"/>
            <w:tcBorders>
              <w:top w:val="nil"/>
              <w:left w:val="nil"/>
              <w:bottom w:val="nil"/>
              <w:right w:val="nil"/>
            </w:tcBorders>
            <w:shd w:val="clear" w:color="auto" w:fill="auto"/>
            <w:noWrap/>
            <w:vAlign w:val="bottom"/>
            <w:hideMark/>
          </w:tcPr>
          <w:p w14:paraId="7309F5D6" w14:textId="77777777" w:rsidR="001034B8" w:rsidRPr="00530029" w:rsidRDefault="001034B8" w:rsidP="001034B8">
            <w:pPr>
              <w:spacing w:after="0" w:line="240" w:lineRule="auto"/>
              <w:rPr>
                <w:rFonts w:eastAsia="Times New Roman" w:cstheme="minorHAnsi"/>
                <w:sz w:val="18"/>
                <w:szCs w:val="18"/>
                <w:lang w:eastAsia="it-IT"/>
              </w:rPr>
            </w:pPr>
          </w:p>
        </w:tc>
        <w:tc>
          <w:tcPr>
            <w:tcW w:w="880" w:type="dxa"/>
            <w:tcBorders>
              <w:top w:val="nil"/>
              <w:left w:val="nil"/>
              <w:bottom w:val="nil"/>
              <w:right w:val="nil"/>
            </w:tcBorders>
            <w:shd w:val="clear" w:color="auto" w:fill="auto"/>
            <w:noWrap/>
            <w:vAlign w:val="bottom"/>
            <w:hideMark/>
          </w:tcPr>
          <w:p w14:paraId="6028FD10" w14:textId="77777777" w:rsidR="001034B8" w:rsidRPr="00530029" w:rsidRDefault="001034B8" w:rsidP="001034B8">
            <w:pPr>
              <w:spacing w:after="0" w:line="240" w:lineRule="auto"/>
              <w:rPr>
                <w:rFonts w:eastAsia="Times New Roman" w:cstheme="minorHAnsi"/>
                <w:sz w:val="18"/>
                <w:szCs w:val="18"/>
                <w:lang w:eastAsia="it-IT"/>
              </w:rPr>
            </w:pPr>
          </w:p>
        </w:tc>
        <w:tc>
          <w:tcPr>
            <w:tcW w:w="164" w:type="dxa"/>
            <w:gridSpan w:val="2"/>
            <w:tcBorders>
              <w:top w:val="nil"/>
              <w:left w:val="nil"/>
              <w:bottom w:val="nil"/>
              <w:right w:val="nil"/>
            </w:tcBorders>
            <w:shd w:val="clear" w:color="auto" w:fill="auto"/>
            <w:noWrap/>
            <w:vAlign w:val="bottom"/>
            <w:hideMark/>
          </w:tcPr>
          <w:p w14:paraId="1F81456D" w14:textId="77777777" w:rsidR="001034B8" w:rsidRPr="00530029" w:rsidRDefault="001034B8" w:rsidP="001034B8">
            <w:pPr>
              <w:spacing w:after="0" w:line="240" w:lineRule="auto"/>
              <w:rPr>
                <w:rFonts w:eastAsia="Times New Roman" w:cstheme="minorHAnsi"/>
                <w:sz w:val="18"/>
                <w:szCs w:val="18"/>
                <w:lang w:eastAsia="it-IT"/>
              </w:rPr>
            </w:pPr>
          </w:p>
        </w:tc>
        <w:tc>
          <w:tcPr>
            <w:tcW w:w="195" w:type="dxa"/>
            <w:tcBorders>
              <w:top w:val="nil"/>
              <w:left w:val="single" w:sz="4" w:space="0" w:color="auto"/>
              <w:bottom w:val="nil"/>
              <w:right w:val="nil"/>
            </w:tcBorders>
            <w:shd w:val="clear" w:color="auto" w:fill="auto"/>
            <w:noWrap/>
            <w:vAlign w:val="bottom"/>
            <w:hideMark/>
          </w:tcPr>
          <w:p w14:paraId="3D512EAE" w14:textId="77777777" w:rsidR="001034B8" w:rsidRPr="00530029" w:rsidRDefault="001034B8" w:rsidP="001034B8">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778" w:type="dxa"/>
            <w:tcBorders>
              <w:top w:val="nil"/>
              <w:left w:val="nil"/>
              <w:bottom w:val="nil"/>
              <w:right w:val="nil"/>
            </w:tcBorders>
            <w:shd w:val="clear" w:color="auto" w:fill="auto"/>
            <w:noWrap/>
            <w:vAlign w:val="bottom"/>
            <w:hideMark/>
          </w:tcPr>
          <w:p w14:paraId="6E789902" w14:textId="77777777" w:rsidR="001034B8" w:rsidRPr="00530029" w:rsidRDefault="001034B8" w:rsidP="001034B8">
            <w:pPr>
              <w:spacing w:after="0" w:line="240" w:lineRule="auto"/>
              <w:rPr>
                <w:rFonts w:eastAsia="Times New Roman" w:cstheme="minorHAnsi"/>
                <w:color w:val="000000"/>
                <w:sz w:val="18"/>
                <w:szCs w:val="18"/>
                <w:lang w:eastAsia="it-IT"/>
              </w:rPr>
            </w:pPr>
          </w:p>
        </w:tc>
        <w:tc>
          <w:tcPr>
            <w:tcW w:w="791" w:type="dxa"/>
            <w:gridSpan w:val="2"/>
            <w:tcBorders>
              <w:top w:val="nil"/>
              <w:left w:val="nil"/>
              <w:bottom w:val="nil"/>
              <w:right w:val="nil"/>
            </w:tcBorders>
            <w:shd w:val="clear" w:color="auto" w:fill="auto"/>
            <w:noWrap/>
            <w:vAlign w:val="bottom"/>
            <w:hideMark/>
          </w:tcPr>
          <w:p w14:paraId="2392CCBA" w14:textId="77777777" w:rsidR="001034B8" w:rsidRPr="00530029" w:rsidRDefault="001034B8" w:rsidP="001034B8">
            <w:pPr>
              <w:spacing w:after="0" w:line="240" w:lineRule="auto"/>
              <w:rPr>
                <w:rFonts w:eastAsia="Times New Roman" w:cstheme="minorHAnsi"/>
                <w:sz w:val="18"/>
                <w:szCs w:val="18"/>
                <w:lang w:eastAsia="it-IT"/>
              </w:rPr>
            </w:pPr>
          </w:p>
        </w:tc>
      </w:tr>
      <w:tr w:rsidR="00E62EBB" w:rsidRPr="00530029" w14:paraId="7189DC3D" w14:textId="77777777" w:rsidTr="00CB2616">
        <w:trPr>
          <w:trHeight w:val="250"/>
          <w:jc w:val="center"/>
        </w:trPr>
        <w:tc>
          <w:tcPr>
            <w:tcW w:w="773" w:type="dxa"/>
            <w:tcBorders>
              <w:top w:val="nil"/>
              <w:left w:val="nil"/>
              <w:bottom w:val="nil"/>
              <w:right w:val="nil"/>
            </w:tcBorders>
            <w:shd w:val="clear" w:color="auto" w:fill="auto"/>
            <w:noWrap/>
            <w:vAlign w:val="bottom"/>
            <w:hideMark/>
          </w:tcPr>
          <w:p w14:paraId="03AF97B0" w14:textId="77777777" w:rsidR="001034B8" w:rsidRPr="00530029" w:rsidRDefault="001034B8" w:rsidP="001034B8">
            <w:pPr>
              <w:spacing w:after="0" w:line="240" w:lineRule="auto"/>
              <w:rPr>
                <w:rFonts w:eastAsia="Times New Roman" w:cstheme="minorHAnsi"/>
                <w:sz w:val="18"/>
                <w:szCs w:val="18"/>
                <w:lang w:eastAsia="it-IT"/>
              </w:rPr>
            </w:pPr>
          </w:p>
        </w:tc>
        <w:tc>
          <w:tcPr>
            <w:tcW w:w="938" w:type="dxa"/>
            <w:tcBorders>
              <w:top w:val="nil"/>
              <w:left w:val="nil"/>
              <w:bottom w:val="nil"/>
              <w:right w:val="nil"/>
            </w:tcBorders>
            <w:shd w:val="clear" w:color="auto" w:fill="auto"/>
            <w:noWrap/>
            <w:vAlign w:val="bottom"/>
            <w:hideMark/>
          </w:tcPr>
          <w:p w14:paraId="025AEBDF" w14:textId="77777777" w:rsidR="001034B8" w:rsidRPr="00530029" w:rsidRDefault="001034B8" w:rsidP="001034B8">
            <w:pPr>
              <w:spacing w:after="0" w:line="240" w:lineRule="auto"/>
              <w:rPr>
                <w:rFonts w:eastAsia="Times New Roman" w:cstheme="minorHAnsi"/>
                <w:sz w:val="18"/>
                <w:szCs w:val="18"/>
                <w:lang w:eastAsia="it-IT"/>
              </w:rPr>
            </w:pPr>
          </w:p>
        </w:tc>
        <w:tc>
          <w:tcPr>
            <w:tcW w:w="148" w:type="dxa"/>
            <w:tcBorders>
              <w:top w:val="nil"/>
              <w:left w:val="nil"/>
              <w:bottom w:val="nil"/>
              <w:right w:val="nil"/>
            </w:tcBorders>
            <w:shd w:val="clear" w:color="auto" w:fill="auto"/>
            <w:noWrap/>
            <w:vAlign w:val="bottom"/>
            <w:hideMark/>
          </w:tcPr>
          <w:p w14:paraId="75176E93" w14:textId="77777777" w:rsidR="001034B8" w:rsidRPr="00530029" w:rsidRDefault="001034B8" w:rsidP="001034B8">
            <w:pPr>
              <w:spacing w:after="0" w:line="240" w:lineRule="auto"/>
              <w:rPr>
                <w:rFonts w:eastAsia="Times New Roman" w:cstheme="minorHAnsi"/>
                <w:sz w:val="18"/>
                <w:szCs w:val="18"/>
                <w:lang w:eastAsia="it-IT"/>
              </w:rPr>
            </w:pPr>
          </w:p>
        </w:tc>
        <w:tc>
          <w:tcPr>
            <w:tcW w:w="738"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bottom"/>
            <w:hideMark/>
          </w:tcPr>
          <w:p w14:paraId="1EF9EFD3" w14:textId="77777777" w:rsidR="001034B8" w:rsidRPr="00530029" w:rsidRDefault="001034B8" w:rsidP="00CB2616">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Somma</w:t>
            </w:r>
          </w:p>
        </w:tc>
        <w:tc>
          <w:tcPr>
            <w:tcW w:w="880" w:type="dxa"/>
            <w:tcBorders>
              <w:top w:val="single" w:sz="4" w:space="0" w:color="auto"/>
              <w:left w:val="nil"/>
              <w:bottom w:val="single" w:sz="4" w:space="0" w:color="auto"/>
              <w:right w:val="single" w:sz="4" w:space="0" w:color="auto"/>
            </w:tcBorders>
            <w:shd w:val="clear" w:color="auto" w:fill="FFF2CC" w:themeFill="accent4" w:themeFillTint="33"/>
            <w:noWrap/>
            <w:vAlign w:val="bottom"/>
            <w:hideMark/>
          </w:tcPr>
          <w:p w14:paraId="757223C7" w14:textId="77777777" w:rsidR="001034B8" w:rsidRPr="00530029" w:rsidRDefault="001034B8" w:rsidP="00CB2616">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215,882 </w:t>
            </w:r>
          </w:p>
        </w:tc>
        <w:tc>
          <w:tcPr>
            <w:tcW w:w="164" w:type="dxa"/>
            <w:gridSpan w:val="2"/>
            <w:tcBorders>
              <w:top w:val="nil"/>
              <w:left w:val="nil"/>
              <w:bottom w:val="nil"/>
              <w:right w:val="nil"/>
            </w:tcBorders>
            <w:shd w:val="clear" w:color="auto" w:fill="auto"/>
            <w:noWrap/>
            <w:vAlign w:val="bottom"/>
            <w:hideMark/>
          </w:tcPr>
          <w:p w14:paraId="36D376FD" w14:textId="77777777" w:rsidR="001034B8" w:rsidRPr="00530029" w:rsidRDefault="001034B8" w:rsidP="00CB2616">
            <w:pPr>
              <w:spacing w:after="0" w:line="240" w:lineRule="auto"/>
              <w:jc w:val="right"/>
              <w:rPr>
                <w:rFonts w:eastAsia="Times New Roman" w:cstheme="minorHAnsi"/>
                <w:color w:val="000000"/>
                <w:sz w:val="18"/>
                <w:szCs w:val="18"/>
                <w:lang w:eastAsia="it-IT"/>
              </w:rPr>
            </w:pPr>
          </w:p>
        </w:tc>
        <w:tc>
          <w:tcPr>
            <w:tcW w:w="195" w:type="dxa"/>
            <w:tcBorders>
              <w:top w:val="nil"/>
              <w:left w:val="single" w:sz="4" w:space="0" w:color="auto"/>
              <w:bottom w:val="nil"/>
              <w:right w:val="nil"/>
            </w:tcBorders>
            <w:shd w:val="clear" w:color="auto" w:fill="auto"/>
            <w:noWrap/>
            <w:vAlign w:val="bottom"/>
            <w:hideMark/>
          </w:tcPr>
          <w:p w14:paraId="69889EC0" w14:textId="77777777" w:rsidR="001034B8" w:rsidRPr="00530029" w:rsidRDefault="001034B8" w:rsidP="00CB2616">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778" w:type="dxa"/>
            <w:tcBorders>
              <w:top w:val="nil"/>
              <w:left w:val="nil"/>
              <w:bottom w:val="nil"/>
              <w:right w:val="nil"/>
            </w:tcBorders>
            <w:shd w:val="clear" w:color="auto" w:fill="auto"/>
            <w:noWrap/>
            <w:vAlign w:val="bottom"/>
            <w:hideMark/>
          </w:tcPr>
          <w:p w14:paraId="393F1998" w14:textId="77777777" w:rsidR="001034B8" w:rsidRPr="00530029" w:rsidRDefault="001034B8" w:rsidP="00CB2616">
            <w:pPr>
              <w:spacing w:after="0" w:line="240" w:lineRule="auto"/>
              <w:jc w:val="right"/>
              <w:rPr>
                <w:rFonts w:eastAsia="Times New Roman" w:cstheme="minorHAnsi"/>
                <w:color w:val="000000"/>
                <w:sz w:val="18"/>
                <w:szCs w:val="18"/>
                <w:lang w:eastAsia="it-IT"/>
              </w:rPr>
            </w:pPr>
          </w:p>
        </w:tc>
        <w:tc>
          <w:tcPr>
            <w:tcW w:w="791" w:type="dxa"/>
            <w:gridSpan w:val="2"/>
            <w:tcBorders>
              <w:top w:val="nil"/>
              <w:left w:val="nil"/>
              <w:bottom w:val="nil"/>
              <w:right w:val="nil"/>
            </w:tcBorders>
            <w:shd w:val="clear" w:color="auto" w:fill="auto"/>
            <w:noWrap/>
            <w:vAlign w:val="bottom"/>
            <w:hideMark/>
          </w:tcPr>
          <w:p w14:paraId="44C5C0FF" w14:textId="77777777" w:rsidR="001034B8" w:rsidRPr="00530029" w:rsidRDefault="001034B8" w:rsidP="00CB2616">
            <w:pPr>
              <w:spacing w:after="0" w:line="240" w:lineRule="auto"/>
              <w:jc w:val="right"/>
              <w:rPr>
                <w:rFonts w:eastAsia="Times New Roman" w:cstheme="minorHAnsi"/>
                <w:sz w:val="18"/>
                <w:szCs w:val="18"/>
                <w:lang w:eastAsia="it-IT"/>
              </w:rPr>
            </w:pPr>
          </w:p>
        </w:tc>
      </w:tr>
      <w:tr w:rsidR="00E62EBB" w:rsidRPr="00530029" w14:paraId="605816A3" w14:textId="77777777" w:rsidTr="00CB2616">
        <w:trPr>
          <w:trHeight w:val="250"/>
          <w:jc w:val="center"/>
        </w:trPr>
        <w:tc>
          <w:tcPr>
            <w:tcW w:w="773" w:type="dxa"/>
            <w:tcBorders>
              <w:top w:val="nil"/>
              <w:left w:val="nil"/>
              <w:bottom w:val="nil"/>
              <w:right w:val="nil"/>
            </w:tcBorders>
            <w:shd w:val="clear" w:color="auto" w:fill="auto"/>
            <w:noWrap/>
            <w:vAlign w:val="bottom"/>
            <w:hideMark/>
          </w:tcPr>
          <w:p w14:paraId="50D2F5B0" w14:textId="77777777" w:rsidR="001034B8" w:rsidRPr="00530029" w:rsidRDefault="001034B8" w:rsidP="001034B8">
            <w:pPr>
              <w:spacing w:after="0" w:line="240" w:lineRule="auto"/>
              <w:rPr>
                <w:rFonts w:eastAsia="Times New Roman" w:cstheme="minorHAnsi"/>
                <w:sz w:val="18"/>
                <w:szCs w:val="18"/>
                <w:lang w:eastAsia="it-IT"/>
              </w:rPr>
            </w:pPr>
          </w:p>
        </w:tc>
        <w:tc>
          <w:tcPr>
            <w:tcW w:w="938" w:type="dxa"/>
            <w:tcBorders>
              <w:top w:val="nil"/>
              <w:left w:val="nil"/>
              <w:bottom w:val="nil"/>
              <w:right w:val="nil"/>
            </w:tcBorders>
            <w:shd w:val="clear" w:color="auto" w:fill="auto"/>
            <w:noWrap/>
            <w:vAlign w:val="bottom"/>
            <w:hideMark/>
          </w:tcPr>
          <w:p w14:paraId="48283F92" w14:textId="77777777" w:rsidR="001034B8" w:rsidRPr="00530029" w:rsidRDefault="001034B8" w:rsidP="001034B8">
            <w:pPr>
              <w:spacing w:after="0" w:line="240" w:lineRule="auto"/>
              <w:rPr>
                <w:rFonts w:eastAsia="Times New Roman" w:cstheme="minorHAnsi"/>
                <w:sz w:val="18"/>
                <w:szCs w:val="18"/>
                <w:lang w:eastAsia="it-IT"/>
              </w:rPr>
            </w:pPr>
          </w:p>
        </w:tc>
        <w:tc>
          <w:tcPr>
            <w:tcW w:w="148" w:type="dxa"/>
            <w:tcBorders>
              <w:top w:val="nil"/>
              <w:left w:val="nil"/>
              <w:bottom w:val="nil"/>
              <w:right w:val="nil"/>
            </w:tcBorders>
            <w:shd w:val="clear" w:color="auto" w:fill="auto"/>
            <w:noWrap/>
            <w:vAlign w:val="bottom"/>
            <w:hideMark/>
          </w:tcPr>
          <w:p w14:paraId="4B1BADB0" w14:textId="77777777" w:rsidR="001034B8" w:rsidRPr="00530029" w:rsidRDefault="001034B8" w:rsidP="001034B8">
            <w:pPr>
              <w:spacing w:after="0" w:line="240" w:lineRule="auto"/>
              <w:rPr>
                <w:rFonts w:eastAsia="Times New Roman" w:cstheme="minorHAnsi"/>
                <w:sz w:val="18"/>
                <w:szCs w:val="18"/>
                <w:lang w:eastAsia="it-IT"/>
              </w:rPr>
            </w:pPr>
          </w:p>
        </w:tc>
        <w:tc>
          <w:tcPr>
            <w:tcW w:w="738" w:type="dxa"/>
            <w:tcBorders>
              <w:top w:val="nil"/>
              <w:left w:val="single" w:sz="4" w:space="0" w:color="auto"/>
              <w:bottom w:val="single" w:sz="4" w:space="0" w:color="auto"/>
              <w:right w:val="single" w:sz="4" w:space="0" w:color="auto"/>
            </w:tcBorders>
            <w:shd w:val="clear" w:color="auto" w:fill="D9E2F3" w:themeFill="accent1" w:themeFillTint="33"/>
            <w:noWrap/>
            <w:vAlign w:val="bottom"/>
            <w:hideMark/>
          </w:tcPr>
          <w:p w14:paraId="7FE3171E" w14:textId="77777777" w:rsidR="001034B8" w:rsidRPr="00530029" w:rsidRDefault="001034B8" w:rsidP="00CB2616">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Media</w:t>
            </w:r>
          </w:p>
        </w:tc>
        <w:tc>
          <w:tcPr>
            <w:tcW w:w="880" w:type="dxa"/>
            <w:tcBorders>
              <w:top w:val="nil"/>
              <w:left w:val="nil"/>
              <w:bottom w:val="single" w:sz="4" w:space="0" w:color="auto"/>
              <w:right w:val="single" w:sz="4" w:space="0" w:color="auto"/>
            </w:tcBorders>
            <w:shd w:val="clear" w:color="auto" w:fill="D9E2F3" w:themeFill="accent1" w:themeFillTint="33"/>
            <w:noWrap/>
            <w:vAlign w:val="bottom"/>
            <w:hideMark/>
          </w:tcPr>
          <w:p w14:paraId="45FAE677" w14:textId="77777777" w:rsidR="001034B8" w:rsidRPr="00530029" w:rsidRDefault="001034B8" w:rsidP="00CB2616">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14,392 </w:t>
            </w:r>
          </w:p>
        </w:tc>
        <w:tc>
          <w:tcPr>
            <w:tcW w:w="164" w:type="dxa"/>
            <w:gridSpan w:val="2"/>
            <w:tcBorders>
              <w:top w:val="nil"/>
              <w:left w:val="nil"/>
              <w:bottom w:val="nil"/>
              <w:right w:val="nil"/>
            </w:tcBorders>
            <w:shd w:val="clear" w:color="auto" w:fill="auto"/>
            <w:noWrap/>
            <w:vAlign w:val="bottom"/>
            <w:hideMark/>
          </w:tcPr>
          <w:p w14:paraId="456833C7" w14:textId="77777777" w:rsidR="001034B8" w:rsidRPr="00530029" w:rsidRDefault="001034B8" w:rsidP="00CB2616">
            <w:pPr>
              <w:spacing w:after="0" w:line="240" w:lineRule="auto"/>
              <w:jc w:val="right"/>
              <w:rPr>
                <w:rFonts w:eastAsia="Times New Roman" w:cstheme="minorHAnsi"/>
                <w:color w:val="000000"/>
                <w:sz w:val="18"/>
                <w:szCs w:val="18"/>
                <w:lang w:eastAsia="it-IT"/>
              </w:rPr>
            </w:pPr>
          </w:p>
        </w:tc>
        <w:tc>
          <w:tcPr>
            <w:tcW w:w="195" w:type="dxa"/>
            <w:tcBorders>
              <w:top w:val="nil"/>
              <w:left w:val="single" w:sz="4" w:space="0" w:color="auto"/>
              <w:bottom w:val="nil"/>
              <w:right w:val="nil"/>
            </w:tcBorders>
            <w:shd w:val="clear" w:color="auto" w:fill="auto"/>
            <w:noWrap/>
            <w:vAlign w:val="bottom"/>
            <w:hideMark/>
          </w:tcPr>
          <w:p w14:paraId="49973D3F" w14:textId="77777777" w:rsidR="001034B8" w:rsidRPr="00530029" w:rsidRDefault="001034B8" w:rsidP="00CB2616">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77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bottom"/>
            <w:hideMark/>
          </w:tcPr>
          <w:p w14:paraId="4A157F90" w14:textId="77777777" w:rsidR="001034B8" w:rsidRPr="00530029" w:rsidRDefault="001034B8" w:rsidP="00CB2616">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Media</w:t>
            </w:r>
          </w:p>
        </w:tc>
        <w:tc>
          <w:tcPr>
            <w:tcW w:w="791" w:type="dxa"/>
            <w:gridSpan w:val="2"/>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14:paraId="35CBA3CF" w14:textId="77777777" w:rsidR="001034B8" w:rsidRPr="00530029" w:rsidRDefault="001034B8" w:rsidP="00CB2616">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1,369 </w:t>
            </w:r>
          </w:p>
        </w:tc>
      </w:tr>
    </w:tbl>
    <w:p w14:paraId="1747E707" w14:textId="6DE04967" w:rsidR="00375042" w:rsidRPr="00530029" w:rsidRDefault="00375042" w:rsidP="00530029">
      <w:pPr>
        <w:spacing w:before="120" w:after="120" w:line="276" w:lineRule="auto"/>
        <w:rPr>
          <w:rFonts w:cstheme="minorHAnsi"/>
          <w:sz w:val="24"/>
          <w:szCs w:val="24"/>
        </w:rPr>
      </w:pPr>
    </w:p>
    <w:p w14:paraId="1A55973B" w14:textId="03C00D22" w:rsidR="00A96053" w:rsidRPr="00530029" w:rsidRDefault="00A96053" w:rsidP="000240B6">
      <w:pPr>
        <w:pStyle w:val="Paragrafoelenco"/>
        <w:numPr>
          <w:ilvl w:val="0"/>
          <w:numId w:val="1"/>
        </w:numPr>
        <w:spacing w:before="120" w:after="120" w:line="276" w:lineRule="auto"/>
        <w:ind w:left="709" w:hanging="425"/>
        <w:contextualSpacing w:val="0"/>
        <w:jc w:val="both"/>
        <w:rPr>
          <w:rFonts w:cstheme="minorHAnsi"/>
          <w:sz w:val="24"/>
          <w:szCs w:val="24"/>
        </w:rPr>
      </w:pPr>
      <w:r w:rsidRPr="00530029">
        <w:rPr>
          <w:rFonts w:cstheme="minorHAnsi"/>
          <w:sz w:val="24"/>
          <w:szCs w:val="24"/>
        </w:rPr>
        <w:t>calcolo della soglia come somma della media aritmetica e dello scarto medio aritmetico dei ribassi di cui alla lettera b)</w:t>
      </w:r>
      <w:r w:rsidR="00E74E5E" w:rsidRPr="00530029">
        <w:rPr>
          <w:rFonts w:cstheme="minorHAnsi"/>
          <w:sz w:val="24"/>
          <w:szCs w:val="24"/>
        </w:rPr>
        <w:t xml:space="preserve"> (</w:t>
      </w:r>
      <w:r w:rsidR="00EE1C1D" w:rsidRPr="00530029">
        <w:rPr>
          <w:rFonts w:cstheme="minorHAnsi"/>
          <w:sz w:val="24"/>
          <w:szCs w:val="24"/>
        </w:rPr>
        <w:t>14,392 + 1,369</w:t>
      </w:r>
      <w:r w:rsidR="006645C2" w:rsidRPr="00530029">
        <w:rPr>
          <w:rFonts w:cstheme="minorHAnsi"/>
          <w:sz w:val="24"/>
          <w:szCs w:val="24"/>
        </w:rPr>
        <w:t xml:space="preserve"> = </w:t>
      </w:r>
      <w:r w:rsidR="00C45C8E" w:rsidRPr="00530029">
        <w:rPr>
          <w:rFonts w:cstheme="minorHAnsi"/>
          <w:sz w:val="24"/>
          <w:szCs w:val="24"/>
        </w:rPr>
        <w:t>15,761</w:t>
      </w:r>
      <w:r w:rsidR="00EE1C1D" w:rsidRPr="00530029">
        <w:rPr>
          <w:rFonts w:cstheme="minorHAnsi"/>
          <w:sz w:val="24"/>
          <w:szCs w:val="24"/>
        </w:rPr>
        <w:t>);</w:t>
      </w:r>
    </w:p>
    <w:p w14:paraId="4441DFF4" w14:textId="77777777" w:rsidR="00EA45AB" w:rsidRPr="00530029" w:rsidRDefault="003503E0" w:rsidP="000240B6">
      <w:pPr>
        <w:pStyle w:val="Paragrafoelenco"/>
        <w:numPr>
          <w:ilvl w:val="0"/>
          <w:numId w:val="1"/>
        </w:numPr>
        <w:spacing w:before="120" w:after="120" w:line="276" w:lineRule="auto"/>
        <w:ind w:left="709" w:hanging="425"/>
        <w:contextualSpacing w:val="0"/>
        <w:jc w:val="both"/>
        <w:rPr>
          <w:rFonts w:cstheme="minorHAnsi"/>
          <w:sz w:val="24"/>
          <w:szCs w:val="24"/>
        </w:rPr>
      </w:pPr>
      <w:r w:rsidRPr="00530029">
        <w:rPr>
          <w:rFonts w:cstheme="minorHAnsi"/>
          <w:sz w:val="24"/>
          <w:szCs w:val="24"/>
        </w:rPr>
        <w:lastRenderedPageBreak/>
        <w:t>la soglia calcolata alla lettera c) viene decrementata di un valore percentuale, pari al prodotto delle prime due cifre dopo la virgola della somma dei ribassi di cui</w:t>
      </w:r>
      <w:r w:rsidR="00532317" w:rsidRPr="00530029">
        <w:rPr>
          <w:rFonts w:cstheme="minorHAnsi"/>
          <w:sz w:val="24"/>
          <w:szCs w:val="24"/>
        </w:rPr>
        <w:t xml:space="preserve"> </w:t>
      </w:r>
      <w:r w:rsidRPr="00530029">
        <w:rPr>
          <w:rFonts w:cstheme="minorHAnsi"/>
          <w:sz w:val="24"/>
          <w:szCs w:val="24"/>
        </w:rPr>
        <w:t>alla lettera a), applicato allo scarto medio aritmetico di cui alla lettera b)</w:t>
      </w:r>
      <w:r w:rsidR="008F7765" w:rsidRPr="00530029">
        <w:rPr>
          <w:rFonts w:cstheme="minorHAnsi"/>
          <w:sz w:val="24"/>
          <w:szCs w:val="24"/>
        </w:rPr>
        <w:t>.</w:t>
      </w:r>
    </w:p>
    <w:p w14:paraId="6E8C7382" w14:textId="30264CFE" w:rsidR="00AA3B05" w:rsidRPr="00530029" w:rsidRDefault="00EA45AB" w:rsidP="00530029">
      <w:pPr>
        <w:pStyle w:val="Paragrafoelenco"/>
        <w:spacing w:before="120" w:after="120" w:line="276" w:lineRule="auto"/>
        <w:contextualSpacing w:val="0"/>
        <w:jc w:val="both"/>
        <w:rPr>
          <w:rFonts w:cstheme="minorHAnsi"/>
          <w:sz w:val="24"/>
          <w:szCs w:val="24"/>
        </w:rPr>
      </w:pPr>
      <w:bookmarkStart w:id="2" w:name="_Hlk146019872"/>
      <w:r w:rsidRPr="00530029">
        <w:rPr>
          <w:rFonts w:cstheme="minorHAnsi"/>
          <w:sz w:val="24"/>
          <w:szCs w:val="24"/>
        </w:rPr>
        <w:t>L</w:t>
      </w:r>
      <w:r w:rsidR="00170D61" w:rsidRPr="00530029">
        <w:rPr>
          <w:rFonts w:cstheme="minorHAnsi"/>
          <w:sz w:val="24"/>
          <w:szCs w:val="24"/>
        </w:rPr>
        <w:t xml:space="preserve">e prime due cifre dopo la virgola della somma dei ribassi 215,882 sono 8 e 8, il cui prodotto è pari a 64 (8 </w:t>
      </w:r>
      <w:r w:rsidR="00BE73EF" w:rsidRPr="00530029">
        <w:rPr>
          <w:rFonts w:cstheme="minorHAnsi"/>
          <w:sz w:val="24"/>
          <w:szCs w:val="24"/>
        </w:rPr>
        <w:t>x</w:t>
      </w:r>
      <w:r w:rsidR="00170D61" w:rsidRPr="00530029">
        <w:rPr>
          <w:rFonts w:cstheme="minorHAnsi"/>
          <w:sz w:val="24"/>
          <w:szCs w:val="24"/>
        </w:rPr>
        <w:t xml:space="preserve"> 8); si procede, quindi, ad applicare tale valore percentuale (64</w:t>
      </w:r>
      <w:r w:rsidR="00DF70B3" w:rsidRPr="00530029">
        <w:rPr>
          <w:rFonts w:cstheme="minorHAnsi"/>
          <w:sz w:val="24"/>
          <w:szCs w:val="24"/>
        </w:rPr>
        <w:t xml:space="preserve"> </w:t>
      </w:r>
      <w:r w:rsidR="00170D61" w:rsidRPr="00530029">
        <w:rPr>
          <w:rFonts w:cstheme="minorHAnsi"/>
          <w:sz w:val="24"/>
          <w:szCs w:val="24"/>
        </w:rPr>
        <w:t>%) allo scarto 1,369</w:t>
      </w:r>
      <w:r w:rsidR="0012147F" w:rsidRPr="00530029">
        <w:rPr>
          <w:rFonts w:cstheme="minorHAnsi"/>
          <w:sz w:val="24"/>
          <w:szCs w:val="24"/>
        </w:rPr>
        <w:t>:</w:t>
      </w:r>
      <w:r w:rsidR="00170D61" w:rsidRPr="00530029">
        <w:rPr>
          <w:rFonts w:cstheme="minorHAnsi"/>
          <w:sz w:val="24"/>
          <w:szCs w:val="24"/>
        </w:rPr>
        <w:t xml:space="preserve"> il</w:t>
      </w:r>
      <w:r w:rsidR="0046485D" w:rsidRPr="00530029">
        <w:rPr>
          <w:rFonts w:cstheme="minorHAnsi"/>
          <w:sz w:val="24"/>
          <w:szCs w:val="24"/>
        </w:rPr>
        <w:t xml:space="preserve"> </w:t>
      </w:r>
      <w:r w:rsidR="00170D61" w:rsidRPr="00530029">
        <w:rPr>
          <w:rFonts w:cstheme="minorHAnsi"/>
          <w:sz w:val="24"/>
          <w:szCs w:val="24"/>
        </w:rPr>
        <w:t xml:space="preserve">risultato è 0,876 (1,369 </w:t>
      </w:r>
      <w:r w:rsidR="00BE73EF" w:rsidRPr="00530029">
        <w:rPr>
          <w:rFonts w:cstheme="minorHAnsi"/>
          <w:sz w:val="24"/>
          <w:szCs w:val="24"/>
        </w:rPr>
        <w:t>x</w:t>
      </w:r>
      <w:r w:rsidR="00170D61" w:rsidRPr="00530029">
        <w:rPr>
          <w:rFonts w:cstheme="minorHAnsi"/>
          <w:sz w:val="24"/>
          <w:szCs w:val="24"/>
        </w:rPr>
        <w:t xml:space="preserve"> 64 / 100)</w:t>
      </w:r>
      <w:bookmarkEnd w:id="2"/>
      <w:r w:rsidR="00AA3B05" w:rsidRPr="00530029">
        <w:rPr>
          <w:rFonts w:cstheme="minorHAnsi"/>
          <w:sz w:val="24"/>
          <w:szCs w:val="24"/>
        </w:rPr>
        <w:t>.</w:t>
      </w:r>
    </w:p>
    <w:p w14:paraId="726B746F" w14:textId="337BE52F" w:rsidR="00170D61" w:rsidRPr="00530029" w:rsidRDefault="00AA3B05" w:rsidP="00530029">
      <w:pPr>
        <w:pStyle w:val="Paragrafoelenco"/>
        <w:spacing w:before="120" w:after="120" w:line="276" w:lineRule="auto"/>
        <w:contextualSpacing w:val="0"/>
        <w:jc w:val="both"/>
        <w:rPr>
          <w:rFonts w:cstheme="minorHAnsi"/>
          <w:sz w:val="24"/>
          <w:szCs w:val="24"/>
        </w:rPr>
      </w:pPr>
      <w:r w:rsidRPr="00530029">
        <w:rPr>
          <w:rFonts w:cstheme="minorHAnsi"/>
          <w:sz w:val="24"/>
          <w:szCs w:val="24"/>
        </w:rPr>
        <w:t>S</w:t>
      </w:r>
      <w:r w:rsidR="00170D61" w:rsidRPr="00530029">
        <w:rPr>
          <w:rFonts w:cstheme="minorHAnsi"/>
          <w:sz w:val="24"/>
          <w:szCs w:val="24"/>
        </w:rPr>
        <w:t xml:space="preserve">i </w:t>
      </w:r>
      <w:r w:rsidR="002E3DB9" w:rsidRPr="00530029">
        <w:rPr>
          <w:rFonts w:cstheme="minorHAnsi"/>
          <w:sz w:val="24"/>
          <w:szCs w:val="24"/>
        </w:rPr>
        <w:t>conclude</w:t>
      </w:r>
      <w:r w:rsidR="00170D61" w:rsidRPr="00530029">
        <w:rPr>
          <w:rFonts w:cstheme="minorHAnsi"/>
          <w:sz w:val="24"/>
          <w:szCs w:val="24"/>
        </w:rPr>
        <w:t xml:space="preserve"> poi </w:t>
      </w:r>
      <w:r w:rsidR="002E3DB9" w:rsidRPr="00530029">
        <w:rPr>
          <w:rFonts w:cstheme="minorHAnsi"/>
          <w:sz w:val="24"/>
          <w:szCs w:val="24"/>
        </w:rPr>
        <w:t>con il</w:t>
      </w:r>
      <w:r w:rsidR="00170D61" w:rsidRPr="00530029">
        <w:rPr>
          <w:rFonts w:cstheme="minorHAnsi"/>
          <w:sz w:val="24"/>
          <w:szCs w:val="24"/>
        </w:rPr>
        <w:t xml:space="preserve"> decrementare la soglia</w:t>
      </w:r>
      <w:r w:rsidR="00051884" w:rsidRPr="00530029">
        <w:rPr>
          <w:rFonts w:cstheme="minorHAnsi"/>
          <w:sz w:val="24"/>
          <w:szCs w:val="24"/>
        </w:rPr>
        <w:t>;</w:t>
      </w:r>
      <w:r w:rsidR="007E524F" w:rsidRPr="00530029">
        <w:rPr>
          <w:rFonts w:cstheme="minorHAnsi"/>
          <w:sz w:val="24"/>
          <w:szCs w:val="24"/>
        </w:rPr>
        <w:t xml:space="preserve"> </w:t>
      </w:r>
      <w:r w:rsidR="00051884" w:rsidRPr="00530029">
        <w:rPr>
          <w:rFonts w:cstheme="minorHAnsi"/>
          <w:sz w:val="24"/>
          <w:szCs w:val="24"/>
        </w:rPr>
        <w:t>a</w:t>
      </w:r>
      <w:r w:rsidR="00170D61" w:rsidRPr="00530029">
        <w:rPr>
          <w:rFonts w:cstheme="minorHAnsi"/>
          <w:sz w:val="24"/>
          <w:szCs w:val="24"/>
        </w:rPr>
        <w:t xml:space="preserve">ll’esito di detta operazione la soglia di anomalia risulta pari a 14,885 </w:t>
      </w:r>
      <w:bookmarkStart w:id="3" w:name="_Hlk145949690"/>
      <w:r w:rsidR="00170D61" w:rsidRPr="00530029">
        <w:rPr>
          <w:rFonts w:cstheme="minorHAnsi"/>
          <w:sz w:val="24"/>
          <w:szCs w:val="24"/>
        </w:rPr>
        <w:t>(15,761 - 0,876)</w:t>
      </w:r>
      <w:bookmarkEnd w:id="3"/>
      <w:r w:rsidR="00170D61" w:rsidRPr="00530029">
        <w:rPr>
          <w:rFonts w:cstheme="minorHAnsi"/>
          <w:sz w:val="24"/>
          <w:szCs w:val="24"/>
        </w:rPr>
        <w:t xml:space="preserve">. </w:t>
      </w:r>
    </w:p>
    <w:p w14:paraId="00ACF575" w14:textId="7CE48596" w:rsidR="002201EE" w:rsidRPr="00530029" w:rsidRDefault="00C347D6" w:rsidP="000240B6">
      <w:pPr>
        <w:spacing w:before="120" w:after="120" w:line="276" w:lineRule="auto"/>
        <w:ind w:left="284"/>
        <w:jc w:val="both"/>
        <w:rPr>
          <w:rFonts w:cstheme="minorHAnsi"/>
          <w:sz w:val="24"/>
          <w:szCs w:val="24"/>
        </w:rPr>
      </w:pPr>
      <w:r w:rsidRPr="00530029">
        <w:rPr>
          <w:rFonts w:cstheme="minorHAnsi"/>
          <w:sz w:val="24"/>
          <w:szCs w:val="24"/>
        </w:rPr>
        <w:t xml:space="preserve">Tutti gli sconti superiori alla soglia di anomalia sono automaticamente esclusi. Tra le offerte non escluse, la </w:t>
      </w:r>
      <w:r w:rsidR="00F656C0">
        <w:rPr>
          <w:rFonts w:cstheme="minorHAnsi"/>
          <w:sz w:val="24"/>
          <w:szCs w:val="24"/>
        </w:rPr>
        <w:t>S</w:t>
      </w:r>
      <w:r w:rsidR="00F656C0" w:rsidRPr="00530029">
        <w:rPr>
          <w:rFonts w:cstheme="minorHAnsi"/>
          <w:sz w:val="24"/>
          <w:szCs w:val="24"/>
        </w:rPr>
        <w:t xml:space="preserve">tazione </w:t>
      </w:r>
      <w:r w:rsidR="00F656C0">
        <w:rPr>
          <w:rFonts w:cstheme="minorHAnsi"/>
          <w:sz w:val="24"/>
          <w:szCs w:val="24"/>
        </w:rPr>
        <w:t>A</w:t>
      </w:r>
      <w:r w:rsidR="00F656C0" w:rsidRPr="00530029">
        <w:rPr>
          <w:rFonts w:cstheme="minorHAnsi"/>
          <w:sz w:val="24"/>
          <w:szCs w:val="24"/>
        </w:rPr>
        <w:t xml:space="preserve">ppaltante </w:t>
      </w:r>
      <w:r w:rsidRPr="00530029">
        <w:rPr>
          <w:rFonts w:cstheme="minorHAnsi"/>
          <w:sz w:val="24"/>
          <w:szCs w:val="24"/>
        </w:rPr>
        <w:t>individua come vincitrice quella con lo sconto maggiore</w:t>
      </w:r>
      <w:r w:rsidR="008C3224" w:rsidRPr="00530029">
        <w:rPr>
          <w:rFonts w:cstheme="minorHAnsi"/>
          <w:sz w:val="24"/>
          <w:szCs w:val="24"/>
        </w:rPr>
        <w:t xml:space="preserve"> (14,812)</w:t>
      </w:r>
      <w:r w:rsidRPr="00530029">
        <w:rPr>
          <w:rFonts w:cstheme="minorHAnsi"/>
          <w:sz w:val="24"/>
          <w:szCs w:val="24"/>
        </w:rPr>
        <w:t>. Lo sconto di aggiudicazione corrisposto all’impresa aggiudicataria è quello che questa stessa impresa ha presentato. In caso di pareggio tra le offerte di maggior ribasso, il vincitore è deciso con un sorteggio.</w:t>
      </w:r>
    </w:p>
    <w:p w14:paraId="32D8152D" w14:textId="55D2D657" w:rsidR="008D454E" w:rsidRPr="00530029" w:rsidRDefault="00A27553" w:rsidP="000240B6">
      <w:pPr>
        <w:spacing w:before="120" w:after="120" w:line="276" w:lineRule="auto"/>
        <w:ind w:left="284"/>
        <w:jc w:val="both"/>
        <w:rPr>
          <w:rFonts w:cstheme="minorHAnsi"/>
          <w:sz w:val="24"/>
          <w:szCs w:val="24"/>
        </w:rPr>
      </w:pPr>
      <w:r w:rsidRPr="00530029">
        <w:rPr>
          <w:rFonts w:cstheme="minorHAnsi"/>
          <w:sz w:val="24"/>
          <w:szCs w:val="24"/>
        </w:rPr>
        <w:t xml:space="preserve">Si illustrano nel seguito le modalità di calcolo di cui al METODO A nel caso in cui le </w:t>
      </w:r>
      <w:r w:rsidRPr="00530029">
        <w:rPr>
          <w:rFonts w:cstheme="minorHAnsi"/>
          <w:b/>
          <w:bCs/>
          <w:sz w:val="24"/>
          <w:szCs w:val="24"/>
        </w:rPr>
        <w:t>offerte ammesse siano in numero inferiore a 15</w:t>
      </w:r>
      <w:r w:rsidRPr="00530029">
        <w:rPr>
          <w:rFonts w:cstheme="minorHAnsi"/>
          <w:sz w:val="24"/>
          <w:szCs w:val="24"/>
        </w:rPr>
        <w:t>.</w:t>
      </w:r>
    </w:p>
    <w:p w14:paraId="15C67037" w14:textId="65E5CEB1" w:rsidR="004735F4" w:rsidRPr="00530029" w:rsidRDefault="00823B7D" w:rsidP="000240B6">
      <w:pPr>
        <w:pStyle w:val="Paragrafoelenco"/>
        <w:numPr>
          <w:ilvl w:val="0"/>
          <w:numId w:val="25"/>
        </w:numPr>
        <w:spacing w:before="120" w:after="120" w:line="276" w:lineRule="auto"/>
        <w:ind w:left="709" w:hanging="425"/>
        <w:contextualSpacing w:val="0"/>
        <w:jc w:val="both"/>
        <w:rPr>
          <w:rFonts w:cstheme="minorHAnsi"/>
          <w:sz w:val="24"/>
          <w:szCs w:val="24"/>
        </w:rPr>
      </w:pPr>
      <w:r w:rsidRPr="00530029">
        <w:rPr>
          <w:rFonts w:cstheme="minorHAnsi"/>
          <w:sz w:val="24"/>
          <w:szCs w:val="24"/>
        </w:rPr>
        <w:t>Calcolo della media aritmetica dei ribassi percentuali di tutte le offerte ammesse, con esclusione del 10 %, arrotondato all'unità superiore, rispettivamente delle offerte di maggior ribasso e quelle di minor ribasso; le offerte aventi un uguale valore di ribasso sono prese in considerazione distintamente nei loro singoli valori. Qualora, nell’effettuare il calcolo del 10 %, siano presenti una o più offerte di eguale valore rispetto alle offerte da accantonare, dette offerte sono altresì da accantonare;</w:t>
      </w:r>
    </w:p>
    <w:p w14:paraId="027DEA0A" w14:textId="1E0A6955" w:rsidR="00215208" w:rsidRPr="000240B6" w:rsidRDefault="00823B7D" w:rsidP="000240B6">
      <w:pPr>
        <w:pStyle w:val="Paragrafoelenco"/>
        <w:numPr>
          <w:ilvl w:val="0"/>
          <w:numId w:val="25"/>
        </w:numPr>
        <w:spacing w:before="120" w:after="120" w:line="276" w:lineRule="auto"/>
        <w:ind w:left="709" w:hanging="425"/>
        <w:contextualSpacing w:val="0"/>
        <w:jc w:val="both"/>
        <w:rPr>
          <w:rFonts w:cstheme="minorHAnsi"/>
          <w:sz w:val="24"/>
          <w:szCs w:val="24"/>
        </w:rPr>
      </w:pPr>
      <w:r w:rsidRPr="000240B6">
        <w:rPr>
          <w:rFonts w:cstheme="minorHAnsi"/>
          <w:sz w:val="24"/>
          <w:szCs w:val="24"/>
        </w:rPr>
        <w:t>calcolo dello scarto medio aritmetico dei ribassi percentuali che superano la media calcolata ai sensi della lettera a), esclusi quelli accantonati di cui alla lettera a);</w:t>
      </w:r>
    </w:p>
    <w:p w14:paraId="4DCCF783" w14:textId="2559D645" w:rsidR="00215208" w:rsidRPr="00530029" w:rsidRDefault="00215208" w:rsidP="00530029">
      <w:pPr>
        <w:pStyle w:val="Paragrafoelenco"/>
        <w:spacing w:before="120" w:after="120" w:line="276" w:lineRule="auto"/>
        <w:contextualSpacing w:val="0"/>
        <w:jc w:val="both"/>
        <w:rPr>
          <w:rFonts w:cstheme="minorHAnsi"/>
          <w:b/>
          <w:bCs/>
          <w:i/>
          <w:iCs/>
          <w:sz w:val="18"/>
          <w:szCs w:val="18"/>
        </w:rPr>
      </w:pPr>
      <w:r w:rsidRPr="00530029">
        <w:rPr>
          <w:rFonts w:cstheme="minorHAnsi"/>
          <w:b/>
          <w:bCs/>
          <w:i/>
          <w:iCs/>
          <w:sz w:val="24"/>
          <w:szCs w:val="24"/>
        </w:rPr>
        <w:t>Tabella 2</w:t>
      </w:r>
    </w:p>
    <w:tbl>
      <w:tblPr>
        <w:tblW w:w="5095" w:type="dxa"/>
        <w:jc w:val="center"/>
        <w:tblCellMar>
          <w:left w:w="70" w:type="dxa"/>
          <w:right w:w="70" w:type="dxa"/>
        </w:tblCellMar>
        <w:tblLook w:val="04A0" w:firstRow="1" w:lastRow="0" w:firstColumn="1" w:lastColumn="0" w:noHBand="0" w:noVBand="1"/>
      </w:tblPr>
      <w:tblGrid>
        <w:gridCol w:w="725"/>
        <w:gridCol w:w="845"/>
        <w:gridCol w:w="146"/>
        <w:gridCol w:w="694"/>
        <w:gridCol w:w="871"/>
        <w:gridCol w:w="172"/>
        <w:gridCol w:w="19"/>
        <w:gridCol w:w="228"/>
        <w:gridCol w:w="626"/>
        <w:gridCol w:w="758"/>
        <w:gridCol w:w="11"/>
      </w:tblGrid>
      <w:tr w:rsidR="00012871" w:rsidRPr="00530029" w14:paraId="7D0B1635" w14:textId="77777777" w:rsidTr="00707455">
        <w:trPr>
          <w:gridAfter w:val="1"/>
          <w:wAfter w:w="11" w:type="dxa"/>
          <w:trHeight w:val="257"/>
          <w:jc w:val="center"/>
        </w:trPr>
        <w:tc>
          <w:tcPr>
            <w:tcW w:w="3453" w:type="dxa"/>
            <w:gridSpan w:val="6"/>
            <w:tcBorders>
              <w:top w:val="nil"/>
              <w:left w:val="nil"/>
              <w:bottom w:val="nil"/>
            </w:tcBorders>
            <w:shd w:val="clear" w:color="auto" w:fill="auto"/>
            <w:noWrap/>
            <w:vAlign w:val="bottom"/>
            <w:hideMark/>
          </w:tcPr>
          <w:p w14:paraId="36012F67" w14:textId="77777777" w:rsidR="00925EFB" w:rsidRPr="00530029" w:rsidRDefault="00925EFB" w:rsidP="00925EFB">
            <w:pPr>
              <w:spacing w:after="0" w:line="240" w:lineRule="auto"/>
              <w:jc w:val="center"/>
              <w:rPr>
                <w:rFonts w:eastAsia="Times New Roman" w:cstheme="minorHAnsi"/>
                <w:i/>
                <w:iCs/>
                <w:color w:val="000000"/>
                <w:sz w:val="18"/>
                <w:szCs w:val="18"/>
                <w:lang w:eastAsia="it-IT"/>
              </w:rPr>
            </w:pPr>
            <w:r w:rsidRPr="00530029">
              <w:rPr>
                <w:rFonts w:eastAsia="Times New Roman" w:cstheme="minorHAnsi"/>
                <w:i/>
                <w:iCs/>
                <w:color w:val="000000"/>
                <w:sz w:val="18"/>
                <w:szCs w:val="18"/>
                <w:lang w:eastAsia="it-IT"/>
              </w:rPr>
              <w:t>a)</w:t>
            </w:r>
          </w:p>
        </w:tc>
        <w:tc>
          <w:tcPr>
            <w:tcW w:w="1631" w:type="dxa"/>
            <w:gridSpan w:val="4"/>
            <w:tcBorders>
              <w:top w:val="nil"/>
              <w:bottom w:val="nil"/>
              <w:right w:val="nil"/>
            </w:tcBorders>
            <w:shd w:val="clear" w:color="auto" w:fill="auto"/>
            <w:noWrap/>
            <w:vAlign w:val="bottom"/>
            <w:hideMark/>
          </w:tcPr>
          <w:p w14:paraId="66845057" w14:textId="77777777" w:rsidR="00925EFB" w:rsidRPr="00530029" w:rsidRDefault="00925EFB" w:rsidP="00925EFB">
            <w:pPr>
              <w:spacing w:after="0" w:line="240" w:lineRule="auto"/>
              <w:jc w:val="center"/>
              <w:rPr>
                <w:rFonts w:eastAsia="Times New Roman" w:cstheme="minorHAnsi"/>
                <w:i/>
                <w:iCs/>
                <w:color w:val="000000"/>
                <w:sz w:val="18"/>
                <w:szCs w:val="18"/>
                <w:lang w:eastAsia="it-IT"/>
              </w:rPr>
            </w:pPr>
            <w:r w:rsidRPr="00530029">
              <w:rPr>
                <w:rFonts w:eastAsia="Times New Roman" w:cstheme="minorHAnsi"/>
                <w:i/>
                <w:iCs/>
                <w:color w:val="000000"/>
                <w:sz w:val="18"/>
                <w:szCs w:val="18"/>
                <w:lang w:eastAsia="it-IT"/>
              </w:rPr>
              <w:t>b)</w:t>
            </w:r>
          </w:p>
        </w:tc>
      </w:tr>
      <w:tr w:rsidR="00616DC2" w:rsidRPr="00530029" w14:paraId="52B1790A" w14:textId="77777777" w:rsidTr="00707455">
        <w:trPr>
          <w:trHeight w:val="257"/>
          <w:jc w:val="center"/>
        </w:trPr>
        <w:tc>
          <w:tcPr>
            <w:tcW w:w="725" w:type="dxa"/>
            <w:tcBorders>
              <w:top w:val="nil"/>
              <w:left w:val="nil"/>
              <w:bottom w:val="nil"/>
              <w:right w:val="nil"/>
            </w:tcBorders>
            <w:shd w:val="clear" w:color="auto" w:fill="auto"/>
            <w:noWrap/>
            <w:vAlign w:val="bottom"/>
            <w:hideMark/>
          </w:tcPr>
          <w:p w14:paraId="2D5FF215" w14:textId="77777777" w:rsidR="00925EFB" w:rsidRPr="00530029" w:rsidRDefault="00925EFB" w:rsidP="00925EFB">
            <w:pPr>
              <w:spacing w:after="0" w:line="240" w:lineRule="auto"/>
              <w:jc w:val="center"/>
              <w:rPr>
                <w:rFonts w:eastAsia="Times New Roman" w:cstheme="minorHAnsi"/>
                <w:i/>
                <w:iCs/>
                <w:color w:val="000000"/>
                <w:sz w:val="18"/>
                <w:szCs w:val="18"/>
                <w:lang w:eastAsia="it-IT"/>
              </w:rPr>
            </w:pPr>
          </w:p>
        </w:tc>
        <w:tc>
          <w:tcPr>
            <w:tcW w:w="845" w:type="dxa"/>
            <w:tcBorders>
              <w:top w:val="nil"/>
              <w:left w:val="nil"/>
              <w:bottom w:val="nil"/>
              <w:right w:val="nil"/>
            </w:tcBorders>
            <w:shd w:val="clear" w:color="auto" w:fill="auto"/>
            <w:noWrap/>
            <w:vAlign w:val="bottom"/>
            <w:hideMark/>
          </w:tcPr>
          <w:p w14:paraId="54D6C8CC" w14:textId="77777777" w:rsidR="00925EFB" w:rsidRPr="00530029" w:rsidRDefault="00925EFB" w:rsidP="00925EFB">
            <w:pPr>
              <w:spacing w:after="0" w:line="240" w:lineRule="auto"/>
              <w:rPr>
                <w:rFonts w:eastAsia="Times New Roman" w:cstheme="minorHAnsi"/>
                <w:sz w:val="18"/>
                <w:szCs w:val="18"/>
                <w:lang w:eastAsia="it-IT"/>
              </w:rPr>
            </w:pPr>
          </w:p>
        </w:tc>
        <w:tc>
          <w:tcPr>
            <w:tcW w:w="146" w:type="dxa"/>
            <w:tcBorders>
              <w:top w:val="nil"/>
              <w:left w:val="nil"/>
              <w:bottom w:val="nil"/>
              <w:right w:val="nil"/>
            </w:tcBorders>
            <w:shd w:val="clear" w:color="auto" w:fill="auto"/>
            <w:noWrap/>
            <w:vAlign w:val="bottom"/>
            <w:hideMark/>
          </w:tcPr>
          <w:p w14:paraId="4EE22AA7" w14:textId="77777777" w:rsidR="00925EFB" w:rsidRPr="00530029" w:rsidRDefault="00925EFB" w:rsidP="00925EFB">
            <w:pPr>
              <w:spacing w:after="0" w:line="240" w:lineRule="auto"/>
              <w:rPr>
                <w:rFonts w:eastAsia="Times New Roman" w:cstheme="minorHAnsi"/>
                <w:sz w:val="18"/>
                <w:szCs w:val="18"/>
                <w:lang w:eastAsia="it-IT"/>
              </w:rPr>
            </w:pPr>
          </w:p>
        </w:tc>
        <w:tc>
          <w:tcPr>
            <w:tcW w:w="694" w:type="dxa"/>
            <w:tcBorders>
              <w:top w:val="nil"/>
              <w:left w:val="nil"/>
              <w:bottom w:val="nil"/>
              <w:right w:val="nil"/>
            </w:tcBorders>
            <w:shd w:val="clear" w:color="auto" w:fill="auto"/>
            <w:noWrap/>
            <w:vAlign w:val="bottom"/>
            <w:hideMark/>
          </w:tcPr>
          <w:p w14:paraId="558B1BC3" w14:textId="77777777" w:rsidR="00925EFB" w:rsidRPr="00530029" w:rsidRDefault="00925EFB" w:rsidP="00925EFB">
            <w:pPr>
              <w:spacing w:after="0" w:line="240" w:lineRule="auto"/>
              <w:rPr>
                <w:rFonts w:eastAsia="Times New Roman" w:cstheme="minorHAnsi"/>
                <w:sz w:val="18"/>
                <w:szCs w:val="18"/>
                <w:lang w:eastAsia="it-IT"/>
              </w:rPr>
            </w:pPr>
          </w:p>
        </w:tc>
        <w:tc>
          <w:tcPr>
            <w:tcW w:w="871" w:type="dxa"/>
            <w:tcBorders>
              <w:top w:val="nil"/>
              <w:left w:val="nil"/>
              <w:bottom w:val="nil"/>
              <w:right w:val="nil"/>
            </w:tcBorders>
            <w:shd w:val="clear" w:color="auto" w:fill="auto"/>
            <w:noWrap/>
            <w:vAlign w:val="bottom"/>
            <w:hideMark/>
          </w:tcPr>
          <w:p w14:paraId="54B4F289" w14:textId="77777777" w:rsidR="00925EFB" w:rsidRPr="00530029" w:rsidRDefault="00925EFB" w:rsidP="00925EFB">
            <w:pPr>
              <w:spacing w:after="0" w:line="240" w:lineRule="auto"/>
              <w:rPr>
                <w:rFonts w:eastAsia="Times New Roman" w:cstheme="minorHAnsi"/>
                <w:sz w:val="18"/>
                <w:szCs w:val="18"/>
                <w:lang w:eastAsia="it-IT"/>
              </w:rPr>
            </w:pPr>
          </w:p>
        </w:tc>
        <w:tc>
          <w:tcPr>
            <w:tcW w:w="191" w:type="dxa"/>
            <w:gridSpan w:val="2"/>
            <w:tcBorders>
              <w:top w:val="nil"/>
              <w:left w:val="nil"/>
              <w:bottom w:val="nil"/>
              <w:right w:val="nil"/>
            </w:tcBorders>
            <w:shd w:val="clear" w:color="auto" w:fill="auto"/>
            <w:noWrap/>
            <w:vAlign w:val="bottom"/>
            <w:hideMark/>
          </w:tcPr>
          <w:p w14:paraId="3CC964C9" w14:textId="77777777" w:rsidR="00925EFB" w:rsidRPr="00530029" w:rsidRDefault="00925EFB" w:rsidP="00925EFB">
            <w:pPr>
              <w:spacing w:after="0" w:line="240" w:lineRule="auto"/>
              <w:rPr>
                <w:rFonts w:eastAsia="Times New Roman" w:cstheme="minorHAnsi"/>
                <w:sz w:val="18"/>
                <w:szCs w:val="18"/>
                <w:lang w:eastAsia="it-IT"/>
              </w:rPr>
            </w:pPr>
          </w:p>
        </w:tc>
        <w:tc>
          <w:tcPr>
            <w:tcW w:w="228" w:type="dxa"/>
            <w:tcBorders>
              <w:top w:val="nil"/>
              <w:left w:val="single" w:sz="4" w:space="0" w:color="auto"/>
              <w:bottom w:val="nil"/>
              <w:right w:val="nil"/>
            </w:tcBorders>
            <w:shd w:val="clear" w:color="auto" w:fill="auto"/>
            <w:noWrap/>
            <w:vAlign w:val="bottom"/>
            <w:hideMark/>
          </w:tcPr>
          <w:p w14:paraId="152C45E5" w14:textId="77777777" w:rsidR="00925EFB" w:rsidRPr="00530029" w:rsidRDefault="00925EFB" w:rsidP="00925EFB">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626" w:type="dxa"/>
            <w:tcBorders>
              <w:top w:val="nil"/>
              <w:left w:val="nil"/>
              <w:bottom w:val="nil"/>
              <w:right w:val="nil"/>
            </w:tcBorders>
            <w:shd w:val="clear" w:color="auto" w:fill="auto"/>
            <w:noWrap/>
            <w:vAlign w:val="bottom"/>
            <w:hideMark/>
          </w:tcPr>
          <w:p w14:paraId="5E82119F" w14:textId="77777777" w:rsidR="00925EFB" w:rsidRPr="00530029" w:rsidRDefault="00925EFB" w:rsidP="00925EFB">
            <w:pPr>
              <w:spacing w:after="0" w:line="240" w:lineRule="auto"/>
              <w:rPr>
                <w:rFonts w:eastAsia="Times New Roman" w:cstheme="minorHAnsi"/>
                <w:color w:val="000000"/>
                <w:sz w:val="18"/>
                <w:szCs w:val="18"/>
                <w:lang w:eastAsia="it-IT"/>
              </w:rPr>
            </w:pPr>
          </w:p>
        </w:tc>
        <w:tc>
          <w:tcPr>
            <w:tcW w:w="769" w:type="dxa"/>
            <w:gridSpan w:val="2"/>
            <w:tcBorders>
              <w:top w:val="nil"/>
              <w:left w:val="nil"/>
              <w:bottom w:val="nil"/>
              <w:right w:val="nil"/>
            </w:tcBorders>
            <w:shd w:val="clear" w:color="auto" w:fill="auto"/>
            <w:noWrap/>
            <w:vAlign w:val="bottom"/>
            <w:hideMark/>
          </w:tcPr>
          <w:p w14:paraId="3EEAD9C7" w14:textId="77777777" w:rsidR="00925EFB" w:rsidRPr="00530029" w:rsidRDefault="00925EFB" w:rsidP="00925EFB">
            <w:pPr>
              <w:spacing w:after="0" w:line="240" w:lineRule="auto"/>
              <w:rPr>
                <w:rFonts w:eastAsia="Times New Roman" w:cstheme="minorHAnsi"/>
                <w:sz w:val="18"/>
                <w:szCs w:val="18"/>
                <w:lang w:eastAsia="it-IT"/>
              </w:rPr>
            </w:pPr>
          </w:p>
        </w:tc>
      </w:tr>
      <w:tr w:rsidR="00616DC2" w:rsidRPr="00530029" w14:paraId="009AA80C" w14:textId="77777777" w:rsidTr="00707455">
        <w:trPr>
          <w:trHeight w:val="257"/>
          <w:jc w:val="center"/>
        </w:trPr>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7D54FD" w14:textId="77777777" w:rsidR="00925EFB" w:rsidRPr="00530029" w:rsidRDefault="00925EFB" w:rsidP="00925EFB">
            <w:pPr>
              <w:spacing w:after="0" w:line="240" w:lineRule="auto"/>
              <w:jc w:val="right"/>
              <w:rPr>
                <w:rFonts w:eastAsia="Times New Roman" w:cstheme="minorHAnsi"/>
                <w:color w:val="FF0000"/>
                <w:sz w:val="18"/>
                <w:szCs w:val="18"/>
                <w:lang w:eastAsia="it-IT"/>
              </w:rPr>
            </w:pPr>
            <w:r w:rsidRPr="00530029">
              <w:rPr>
                <w:rFonts w:eastAsia="Times New Roman" w:cstheme="minorHAnsi"/>
                <w:strike/>
                <w:color w:val="FF0000"/>
                <w:sz w:val="18"/>
                <w:szCs w:val="18"/>
                <w:lang w:eastAsia="it-IT"/>
              </w:rPr>
              <w:t xml:space="preserve">1 </w:t>
            </w:r>
          </w:p>
        </w:tc>
        <w:tc>
          <w:tcPr>
            <w:tcW w:w="845" w:type="dxa"/>
            <w:tcBorders>
              <w:top w:val="single" w:sz="4" w:space="0" w:color="auto"/>
              <w:left w:val="nil"/>
              <w:bottom w:val="single" w:sz="4" w:space="0" w:color="auto"/>
              <w:right w:val="single" w:sz="4" w:space="0" w:color="auto"/>
            </w:tcBorders>
            <w:shd w:val="clear" w:color="auto" w:fill="auto"/>
            <w:noWrap/>
            <w:vAlign w:val="bottom"/>
            <w:hideMark/>
          </w:tcPr>
          <w:p w14:paraId="4C325E61" w14:textId="77777777" w:rsidR="00925EFB" w:rsidRPr="00530029" w:rsidRDefault="00925EFB" w:rsidP="00925EFB">
            <w:pPr>
              <w:spacing w:after="0" w:line="240" w:lineRule="auto"/>
              <w:jc w:val="right"/>
              <w:rPr>
                <w:rFonts w:eastAsia="Times New Roman" w:cstheme="minorHAnsi"/>
                <w:color w:val="FF0000"/>
                <w:sz w:val="18"/>
                <w:szCs w:val="18"/>
                <w:lang w:eastAsia="it-IT"/>
              </w:rPr>
            </w:pPr>
            <w:r w:rsidRPr="00530029">
              <w:rPr>
                <w:rFonts w:eastAsia="Times New Roman" w:cstheme="minorHAnsi"/>
                <w:strike/>
                <w:color w:val="FF0000"/>
                <w:sz w:val="18"/>
                <w:szCs w:val="18"/>
                <w:lang w:eastAsia="it-IT"/>
              </w:rPr>
              <w:t xml:space="preserve">10,011 </w:t>
            </w:r>
          </w:p>
        </w:tc>
        <w:tc>
          <w:tcPr>
            <w:tcW w:w="146" w:type="dxa"/>
            <w:tcBorders>
              <w:top w:val="nil"/>
              <w:left w:val="nil"/>
              <w:bottom w:val="nil"/>
              <w:right w:val="nil"/>
            </w:tcBorders>
            <w:shd w:val="clear" w:color="auto" w:fill="auto"/>
            <w:noWrap/>
            <w:vAlign w:val="bottom"/>
            <w:hideMark/>
          </w:tcPr>
          <w:p w14:paraId="435B7B71" w14:textId="77777777" w:rsidR="00925EFB" w:rsidRPr="00530029" w:rsidRDefault="00925EFB" w:rsidP="00925EFB">
            <w:pPr>
              <w:spacing w:after="0" w:line="240" w:lineRule="auto"/>
              <w:jc w:val="right"/>
              <w:rPr>
                <w:rFonts w:eastAsia="Times New Roman" w:cstheme="minorHAnsi"/>
                <w:color w:val="000000"/>
                <w:sz w:val="18"/>
                <w:szCs w:val="18"/>
                <w:lang w:eastAsia="it-IT"/>
              </w:rPr>
            </w:pPr>
          </w:p>
        </w:tc>
        <w:tc>
          <w:tcPr>
            <w:tcW w:w="694" w:type="dxa"/>
            <w:tcBorders>
              <w:top w:val="nil"/>
              <w:left w:val="nil"/>
              <w:bottom w:val="nil"/>
              <w:right w:val="nil"/>
            </w:tcBorders>
            <w:shd w:val="clear" w:color="auto" w:fill="auto"/>
            <w:noWrap/>
            <w:vAlign w:val="bottom"/>
            <w:hideMark/>
          </w:tcPr>
          <w:p w14:paraId="279B6D7A" w14:textId="77777777" w:rsidR="00925EFB" w:rsidRPr="00530029" w:rsidRDefault="00925EFB" w:rsidP="00925EFB">
            <w:pPr>
              <w:spacing w:after="0" w:line="240" w:lineRule="auto"/>
              <w:rPr>
                <w:rFonts w:eastAsia="Times New Roman" w:cstheme="minorHAnsi"/>
                <w:sz w:val="18"/>
                <w:szCs w:val="18"/>
                <w:lang w:eastAsia="it-IT"/>
              </w:rPr>
            </w:pPr>
          </w:p>
        </w:tc>
        <w:tc>
          <w:tcPr>
            <w:tcW w:w="871" w:type="dxa"/>
            <w:tcBorders>
              <w:top w:val="nil"/>
              <w:left w:val="nil"/>
              <w:bottom w:val="nil"/>
              <w:right w:val="nil"/>
            </w:tcBorders>
            <w:shd w:val="clear" w:color="auto" w:fill="auto"/>
            <w:noWrap/>
            <w:vAlign w:val="bottom"/>
            <w:hideMark/>
          </w:tcPr>
          <w:p w14:paraId="10C3A97B" w14:textId="77777777" w:rsidR="00925EFB" w:rsidRPr="00530029" w:rsidRDefault="00925EFB" w:rsidP="00925EFB">
            <w:pPr>
              <w:spacing w:after="0" w:line="240" w:lineRule="auto"/>
              <w:rPr>
                <w:rFonts w:eastAsia="Times New Roman" w:cstheme="minorHAnsi"/>
                <w:sz w:val="18"/>
                <w:szCs w:val="18"/>
                <w:lang w:eastAsia="it-IT"/>
              </w:rPr>
            </w:pPr>
          </w:p>
        </w:tc>
        <w:tc>
          <w:tcPr>
            <w:tcW w:w="191" w:type="dxa"/>
            <w:gridSpan w:val="2"/>
            <w:tcBorders>
              <w:top w:val="nil"/>
              <w:left w:val="nil"/>
              <w:bottom w:val="nil"/>
              <w:right w:val="nil"/>
            </w:tcBorders>
            <w:shd w:val="clear" w:color="auto" w:fill="auto"/>
            <w:noWrap/>
            <w:vAlign w:val="bottom"/>
            <w:hideMark/>
          </w:tcPr>
          <w:p w14:paraId="3D498416" w14:textId="77777777" w:rsidR="00925EFB" w:rsidRPr="00530029" w:rsidRDefault="00925EFB" w:rsidP="00925EFB">
            <w:pPr>
              <w:spacing w:after="0" w:line="240" w:lineRule="auto"/>
              <w:rPr>
                <w:rFonts w:eastAsia="Times New Roman" w:cstheme="minorHAnsi"/>
                <w:sz w:val="18"/>
                <w:szCs w:val="18"/>
                <w:lang w:eastAsia="it-IT"/>
              </w:rPr>
            </w:pPr>
          </w:p>
        </w:tc>
        <w:tc>
          <w:tcPr>
            <w:tcW w:w="228" w:type="dxa"/>
            <w:tcBorders>
              <w:top w:val="nil"/>
              <w:left w:val="single" w:sz="4" w:space="0" w:color="auto"/>
              <w:bottom w:val="nil"/>
              <w:right w:val="nil"/>
            </w:tcBorders>
            <w:shd w:val="clear" w:color="auto" w:fill="auto"/>
            <w:noWrap/>
            <w:vAlign w:val="bottom"/>
            <w:hideMark/>
          </w:tcPr>
          <w:p w14:paraId="485D26DE" w14:textId="77777777" w:rsidR="00925EFB" w:rsidRPr="00530029" w:rsidRDefault="00925EFB" w:rsidP="00925EFB">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626" w:type="dxa"/>
            <w:tcBorders>
              <w:top w:val="nil"/>
              <w:left w:val="nil"/>
              <w:bottom w:val="nil"/>
              <w:right w:val="nil"/>
            </w:tcBorders>
            <w:shd w:val="clear" w:color="auto" w:fill="auto"/>
            <w:noWrap/>
            <w:vAlign w:val="bottom"/>
            <w:hideMark/>
          </w:tcPr>
          <w:p w14:paraId="38A8FB8C" w14:textId="77777777" w:rsidR="00925EFB" w:rsidRPr="00530029" w:rsidRDefault="00925EFB" w:rsidP="00925EFB">
            <w:pPr>
              <w:spacing w:after="0" w:line="240" w:lineRule="auto"/>
              <w:rPr>
                <w:rFonts w:eastAsia="Times New Roman" w:cstheme="minorHAnsi"/>
                <w:color w:val="000000"/>
                <w:sz w:val="18"/>
                <w:szCs w:val="18"/>
                <w:lang w:eastAsia="it-IT"/>
              </w:rPr>
            </w:pPr>
          </w:p>
        </w:tc>
        <w:tc>
          <w:tcPr>
            <w:tcW w:w="769" w:type="dxa"/>
            <w:gridSpan w:val="2"/>
            <w:tcBorders>
              <w:top w:val="nil"/>
              <w:left w:val="nil"/>
              <w:bottom w:val="nil"/>
              <w:right w:val="nil"/>
            </w:tcBorders>
            <w:shd w:val="clear" w:color="auto" w:fill="auto"/>
            <w:noWrap/>
            <w:vAlign w:val="bottom"/>
            <w:hideMark/>
          </w:tcPr>
          <w:p w14:paraId="45C70F16" w14:textId="77777777" w:rsidR="00925EFB" w:rsidRPr="00530029" w:rsidRDefault="00925EFB" w:rsidP="00925EFB">
            <w:pPr>
              <w:spacing w:after="0" w:line="240" w:lineRule="auto"/>
              <w:rPr>
                <w:rFonts w:eastAsia="Times New Roman" w:cstheme="minorHAnsi"/>
                <w:sz w:val="18"/>
                <w:szCs w:val="18"/>
                <w:lang w:eastAsia="it-IT"/>
              </w:rPr>
            </w:pPr>
          </w:p>
        </w:tc>
      </w:tr>
      <w:tr w:rsidR="00616DC2" w:rsidRPr="00530029" w14:paraId="4EAC16AE" w14:textId="77777777" w:rsidTr="00707455">
        <w:trPr>
          <w:trHeight w:val="257"/>
          <w:jc w:val="center"/>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482D7ACC" w14:textId="77777777"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2 </w:t>
            </w:r>
          </w:p>
        </w:tc>
        <w:tc>
          <w:tcPr>
            <w:tcW w:w="845" w:type="dxa"/>
            <w:tcBorders>
              <w:top w:val="nil"/>
              <w:left w:val="nil"/>
              <w:bottom w:val="single" w:sz="4" w:space="0" w:color="auto"/>
              <w:right w:val="single" w:sz="4" w:space="0" w:color="auto"/>
            </w:tcBorders>
            <w:shd w:val="clear" w:color="auto" w:fill="auto"/>
            <w:noWrap/>
            <w:vAlign w:val="bottom"/>
            <w:hideMark/>
          </w:tcPr>
          <w:p w14:paraId="13CCC4EC" w14:textId="77777777"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11,110 </w:t>
            </w:r>
          </w:p>
        </w:tc>
        <w:tc>
          <w:tcPr>
            <w:tcW w:w="146" w:type="dxa"/>
            <w:tcBorders>
              <w:top w:val="nil"/>
              <w:left w:val="nil"/>
              <w:bottom w:val="nil"/>
              <w:right w:val="nil"/>
            </w:tcBorders>
            <w:shd w:val="clear" w:color="auto" w:fill="auto"/>
            <w:noWrap/>
            <w:vAlign w:val="bottom"/>
            <w:hideMark/>
          </w:tcPr>
          <w:p w14:paraId="31AB4463" w14:textId="77777777" w:rsidR="00925EFB" w:rsidRPr="00530029" w:rsidRDefault="00925EFB" w:rsidP="00925EFB">
            <w:pPr>
              <w:spacing w:after="0" w:line="240" w:lineRule="auto"/>
              <w:jc w:val="right"/>
              <w:rPr>
                <w:rFonts w:eastAsia="Times New Roman" w:cstheme="minorHAnsi"/>
                <w:color w:val="000000"/>
                <w:sz w:val="18"/>
                <w:szCs w:val="18"/>
                <w:lang w:eastAsia="it-IT"/>
              </w:rPr>
            </w:pP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6B5BB7" w14:textId="77777777"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2 </w:t>
            </w:r>
          </w:p>
        </w:tc>
        <w:tc>
          <w:tcPr>
            <w:tcW w:w="871" w:type="dxa"/>
            <w:tcBorders>
              <w:top w:val="single" w:sz="4" w:space="0" w:color="auto"/>
              <w:left w:val="nil"/>
              <w:bottom w:val="single" w:sz="4" w:space="0" w:color="auto"/>
              <w:right w:val="single" w:sz="4" w:space="0" w:color="auto"/>
            </w:tcBorders>
            <w:shd w:val="clear" w:color="auto" w:fill="auto"/>
            <w:noWrap/>
            <w:vAlign w:val="bottom"/>
            <w:hideMark/>
          </w:tcPr>
          <w:p w14:paraId="3BAA357A" w14:textId="77777777"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11,110 </w:t>
            </w:r>
          </w:p>
        </w:tc>
        <w:tc>
          <w:tcPr>
            <w:tcW w:w="191" w:type="dxa"/>
            <w:gridSpan w:val="2"/>
            <w:tcBorders>
              <w:top w:val="nil"/>
              <w:left w:val="nil"/>
              <w:bottom w:val="nil"/>
              <w:right w:val="nil"/>
            </w:tcBorders>
            <w:shd w:val="clear" w:color="auto" w:fill="auto"/>
            <w:noWrap/>
            <w:vAlign w:val="bottom"/>
            <w:hideMark/>
          </w:tcPr>
          <w:p w14:paraId="0BD2536E" w14:textId="77777777" w:rsidR="00925EFB" w:rsidRPr="00530029" w:rsidRDefault="00925EFB" w:rsidP="00925EFB">
            <w:pPr>
              <w:spacing w:after="0" w:line="240" w:lineRule="auto"/>
              <w:jc w:val="right"/>
              <w:rPr>
                <w:rFonts w:eastAsia="Times New Roman" w:cstheme="minorHAnsi"/>
                <w:color w:val="000000"/>
                <w:sz w:val="18"/>
                <w:szCs w:val="18"/>
                <w:lang w:eastAsia="it-IT"/>
              </w:rPr>
            </w:pPr>
          </w:p>
        </w:tc>
        <w:tc>
          <w:tcPr>
            <w:tcW w:w="228" w:type="dxa"/>
            <w:tcBorders>
              <w:top w:val="nil"/>
              <w:left w:val="single" w:sz="4" w:space="0" w:color="auto"/>
              <w:bottom w:val="nil"/>
              <w:right w:val="nil"/>
            </w:tcBorders>
            <w:shd w:val="clear" w:color="auto" w:fill="auto"/>
            <w:noWrap/>
            <w:vAlign w:val="bottom"/>
            <w:hideMark/>
          </w:tcPr>
          <w:p w14:paraId="1ED748BA" w14:textId="77777777" w:rsidR="00925EFB" w:rsidRPr="00530029" w:rsidRDefault="00925EFB" w:rsidP="00925EFB">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626" w:type="dxa"/>
            <w:tcBorders>
              <w:top w:val="nil"/>
              <w:left w:val="nil"/>
              <w:bottom w:val="nil"/>
              <w:right w:val="nil"/>
            </w:tcBorders>
            <w:shd w:val="clear" w:color="auto" w:fill="auto"/>
            <w:noWrap/>
            <w:vAlign w:val="bottom"/>
            <w:hideMark/>
          </w:tcPr>
          <w:p w14:paraId="440DD007" w14:textId="77777777" w:rsidR="00925EFB" w:rsidRPr="00530029" w:rsidRDefault="00925EFB" w:rsidP="00925EFB">
            <w:pPr>
              <w:spacing w:after="0" w:line="240" w:lineRule="auto"/>
              <w:rPr>
                <w:rFonts w:eastAsia="Times New Roman" w:cstheme="minorHAnsi"/>
                <w:color w:val="000000"/>
                <w:sz w:val="18"/>
                <w:szCs w:val="18"/>
                <w:lang w:eastAsia="it-IT"/>
              </w:rPr>
            </w:pPr>
          </w:p>
        </w:tc>
        <w:tc>
          <w:tcPr>
            <w:tcW w:w="769" w:type="dxa"/>
            <w:gridSpan w:val="2"/>
            <w:tcBorders>
              <w:top w:val="nil"/>
              <w:left w:val="nil"/>
              <w:bottom w:val="nil"/>
              <w:right w:val="nil"/>
            </w:tcBorders>
            <w:shd w:val="clear" w:color="auto" w:fill="auto"/>
            <w:noWrap/>
            <w:vAlign w:val="bottom"/>
            <w:hideMark/>
          </w:tcPr>
          <w:p w14:paraId="60F268D1" w14:textId="77777777" w:rsidR="00925EFB" w:rsidRPr="00530029" w:rsidRDefault="00925EFB" w:rsidP="00925EFB">
            <w:pPr>
              <w:spacing w:after="0" w:line="240" w:lineRule="auto"/>
              <w:rPr>
                <w:rFonts w:eastAsia="Times New Roman" w:cstheme="minorHAnsi"/>
                <w:sz w:val="18"/>
                <w:szCs w:val="18"/>
                <w:lang w:eastAsia="it-IT"/>
              </w:rPr>
            </w:pPr>
          </w:p>
        </w:tc>
      </w:tr>
      <w:tr w:rsidR="00616DC2" w:rsidRPr="00530029" w14:paraId="038ED767" w14:textId="77777777" w:rsidTr="00707455">
        <w:trPr>
          <w:trHeight w:val="257"/>
          <w:jc w:val="center"/>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3AEEFB9C" w14:textId="77777777"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3 </w:t>
            </w:r>
          </w:p>
        </w:tc>
        <w:tc>
          <w:tcPr>
            <w:tcW w:w="845" w:type="dxa"/>
            <w:tcBorders>
              <w:top w:val="nil"/>
              <w:left w:val="nil"/>
              <w:bottom w:val="single" w:sz="4" w:space="0" w:color="auto"/>
              <w:right w:val="single" w:sz="4" w:space="0" w:color="auto"/>
            </w:tcBorders>
            <w:shd w:val="clear" w:color="auto" w:fill="auto"/>
            <w:noWrap/>
            <w:vAlign w:val="bottom"/>
            <w:hideMark/>
          </w:tcPr>
          <w:p w14:paraId="7D3766CF" w14:textId="77777777"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11,213 </w:t>
            </w:r>
          </w:p>
        </w:tc>
        <w:tc>
          <w:tcPr>
            <w:tcW w:w="146" w:type="dxa"/>
            <w:tcBorders>
              <w:top w:val="nil"/>
              <w:left w:val="nil"/>
              <w:bottom w:val="nil"/>
              <w:right w:val="nil"/>
            </w:tcBorders>
            <w:shd w:val="clear" w:color="auto" w:fill="auto"/>
            <w:noWrap/>
            <w:vAlign w:val="bottom"/>
            <w:hideMark/>
          </w:tcPr>
          <w:p w14:paraId="51701CEB" w14:textId="77777777" w:rsidR="00925EFB" w:rsidRPr="00530029" w:rsidRDefault="00925EFB" w:rsidP="00925EFB">
            <w:pPr>
              <w:spacing w:after="0" w:line="240" w:lineRule="auto"/>
              <w:jc w:val="right"/>
              <w:rPr>
                <w:rFonts w:eastAsia="Times New Roman" w:cstheme="minorHAnsi"/>
                <w:color w:val="000000"/>
                <w:sz w:val="18"/>
                <w:szCs w:val="18"/>
                <w:lang w:eastAsia="it-IT"/>
              </w:rPr>
            </w:pPr>
          </w:p>
        </w:tc>
        <w:tc>
          <w:tcPr>
            <w:tcW w:w="694" w:type="dxa"/>
            <w:tcBorders>
              <w:top w:val="nil"/>
              <w:left w:val="single" w:sz="4" w:space="0" w:color="auto"/>
              <w:bottom w:val="single" w:sz="4" w:space="0" w:color="auto"/>
              <w:right w:val="single" w:sz="4" w:space="0" w:color="auto"/>
            </w:tcBorders>
            <w:shd w:val="clear" w:color="auto" w:fill="auto"/>
            <w:noWrap/>
            <w:vAlign w:val="bottom"/>
            <w:hideMark/>
          </w:tcPr>
          <w:p w14:paraId="551237D0" w14:textId="77777777"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3 </w:t>
            </w:r>
          </w:p>
        </w:tc>
        <w:tc>
          <w:tcPr>
            <w:tcW w:w="871" w:type="dxa"/>
            <w:tcBorders>
              <w:top w:val="nil"/>
              <w:left w:val="nil"/>
              <w:bottom w:val="single" w:sz="4" w:space="0" w:color="auto"/>
              <w:right w:val="single" w:sz="4" w:space="0" w:color="auto"/>
            </w:tcBorders>
            <w:shd w:val="clear" w:color="auto" w:fill="auto"/>
            <w:noWrap/>
            <w:vAlign w:val="bottom"/>
            <w:hideMark/>
          </w:tcPr>
          <w:p w14:paraId="36F41B9A" w14:textId="77777777"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11,213 </w:t>
            </w:r>
          </w:p>
        </w:tc>
        <w:tc>
          <w:tcPr>
            <w:tcW w:w="191" w:type="dxa"/>
            <w:gridSpan w:val="2"/>
            <w:tcBorders>
              <w:top w:val="nil"/>
              <w:left w:val="nil"/>
              <w:bottom w:val="nil"/>
              <w:right w:val="nil"/>
            </w:tcBorders>
            <w:shd w:val="clear" w:color="auto" w:fill="auto"/>
            <w:noWrap/>
            <w:vAlign w:val="bottom"/>
            <w:hideMark/>
          </w:tcPr>
          <w:p w14:paraId="4DD3B225" w14:textId="77777777" w:rsidR="00925EFB" w:rsidRPr="00530029" w:rsidRDefault="00925EFB" w:rsidP="00925EFB">
            <w:pPr>
              <w:spacing w:after="0" w:line="240" w:lineRule="auto"/>
              <w:jc w:val="right"/>
              <w:rPr>
                <w:rFonts w:eastAsia="Times New Roman" w:cstheme="minorHAnsi"/>
                <w:color w:val="000000"/>
                <w:sz w:val="18"/>
                <w:szCs w:val="18"/>
                <w:lang w:eastAsia="it-IT"/>
              </w:rPr>
            </w:pPr>
          </w:p>
        </w:tc>
        <w:tc>
          <w:tcPr>
            <w:tcW w:w="228" w:type="dxa"/>
            <w:tcBorders>
              <w:top w:val="nil"/>
              <w:left w:val="single" w:sz="4" w:space="0" w:color="auto"/>
              <w:bottom w:val="nil"/>
              <w:right w:val="nil"/>
            </w:tcBorders>
            <w:shd w:val="clear" w:color="auto" w:fill="auto"/>
            <w:noWrap/>
            <w:vAlign w:val="bottom"/>
            <w:hideMark/>
          </w:tcPr>
          <w:p w14:paraId="4D660F0E" w14:textId="77777777" w:rsidR="00925EFB" w:rsidRPr="00530029" w:rsidRDefault="00925EFB" w:rsidP="00925EFB">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626" w:type="dxa"/>
            <w:tcBorders>
              <w:top w:val="nil"/>
              <w:left w:val="nil"/>
              <w:bottom w:val="nil"/>
              <w:right w:val="nil"/>
            </w:tcBorders>
            <w:shd w:val="clear" w:color="auto" w:fill="auto"/>
            <w:noWrap/>
            <w:vAlign w:val="bottom"/>
            <w:hideMark/>
          </w:tcPr>
          <w:p w14:paraId="5F5C6F37" w14:textId="77777777" w:rsidR="00925EFB" w:rsidRPr="00530029" w:rsidRDefault="00925EFB" w:rsidP="00925EFB">
            <w:pPr>
              <w:spacing w:after="0" w:line="240" w:lineRule="auto"/>
              <w:rPr>
                <w:rFonts w:eastAsia="Times New Roman" w:cstheme="minorHAnsi"/>
                <w:color w:val="000000"/>
                <w:sz w:val="18"/>
                <w:szCs w:val="18"/>
                <w:lang w:eastAsia="it-IT"/>
              </w:rPr>
            </w:pPr>
          </w:p>
        </w:tc>
        <w:tc>
          <w:tcPr>
            <w:tcW w:w="769" w:type="dxa"/>
            <w:gridSpan w:val="2"/>
            <w:tcBorders>
              <w:top w:val="nil"/>
              <w:left w:val="nil"/>
              <w:bottom w:val="nil"/>
              <w:right w:val="nil"/>
            </w:tcBorders>
            <w:shd w:val="clear" w:color="auto" w:fill="auto"/>
            <w:noWrap/>
            <w:vAlign w:val="bottom"/>
            <w:hideMark/>
          </w:tcPr>
          <w:p w14:paraId="782376BB" w14:textId="77777777" w:rsidR="00925EFB" w:rsidRPr="00530029" w:rsidRDefault="00925EFB" w:rsidP="00925EFB">
            <w:pPr>
              <w:spacing w:after="0" w:line="240" w:lineRule="auto"/>
              <w:rPr>
                <w:rFonts w:eastAsia="Times New Roman" w:cstheme="minorHAnsi"/>
                <w:sz w:val="18"/>
                <w:szCs w:val="18"/>
                <w:lang w:eastAsia="it-IT"/>
              </w:rPr>
            </w:pPr>
          </w:p>
        </w:tc>
      </w:tr>
      <w:tr w:rsidR="00616DC2" w:rsidRPr="00530029" w14:paraId="145F7472" w14:textId="77777777" w:rsidTr="00707455">
        <w:trPr>
          <w:trHeight w:val="257"/>
          <w:jc w:val="center"/>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19EA3A73" w14:textId="77777777"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4 </w:t>
            </w:r>
          </w:p>
        </w:tc>
        <w:tc>
          <w:tcPr>
            <w:tcW w:w="845" w:type="dxa"/>
            <w:tcBorders>
              <w:top w:val="nil"/>
              <w:left w:val="nil"/>
              <w:bottom w:val="single" w:sz="4" w:space="0" w:color="auto"/>
              <w:right w:val="single" w:sz="4" w:space="0" w:color="auto"/>
            </w:tcBorders>
            <w:shd w:val="clear" w:color="auto" w:fill="auto"/>
            <w:noWrap/>
            <w:vAlign w:val="bottom"/>
            <w:hideMark/>
          </w:tcPr>
          <w:p w14:paraId="49D111D0" w14:textId="77777777"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11,431 </w:t>
            </w:r>
          </w:p>
        </w:tc>
        <w:tc>
          <w:tcPr>
            <w:tcW w:w="146" w:type="dxa"/>
            <w:tcBorders>
              <w:top w:val="nil"/>
              <w:left w:val="nil"/>
              <w:bottom w:val="nil"/>
              <w:right w:val="nil"/>
            </w:tcBorders>
            <w:shd w:val="clear" w:color="auto" w:fill="auto"/>
            <w:noWrap/>
            <w:vAlign w:val="bottom"/>
            <w:hideMark/>
          </w:tcPr>
          <w:p w14:paraId="74A52FB4" w14:textId="77777777" w:rsidR="00925EFB" w:rsidRPr="00530029" w:rsidRDefault="00925EFB" w:rsidP="00925EFB">
            <w:pPr>
              <w:spacing w:after="0" w:line="240" w:lineRule="auto"/>
              <w:jc w:val="right"/>
              <w:rPr>
                <w:rFonts w:eastAsia="Times New Roman" w:cstheme="minorHAnsi"/>
                <w:color w:val="000000"/>
                <w:sz w:val="18"/>
                <w:szCs w:val="18"/>
                <w:lang w:eastAsia="it-IT"/>
              </w:rPr>
            </w:pPr>
          </w:p>
        </w:tc>
        <w:tc>
          <w:tcPr>
            <w:tcW w:w="694" w:type="dxa"/>
            <w:tcBorders>
              <w:top w:val="nil"/>
              <w:left w:val="single" w:sz="4" w:space="0" w:color="auto"/>
              <w:bottom w:val="single" w:sz="4" w:space="0" w:color="auto"/>
              <w:right w:val="single" w:sz="4" w:space="0" w:color="auto"/>
            </w:tcBorders>
            <w:shd w:val="clear" w:color="auto" w:fill="auto"/>
            <w:noWrap/>
            <w:vAlign w:val="bottom"/>
            <w:hideMark/>
          </w:tcPr>
          <w:p w14:paraId="0023EFC0" w14:textId="77777777"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4 </w:t>
            </w:r>
          </w:p>
        </w:tc>
        <w:tc>
          <w:tcPr>
            <w:tcW w:w="871" w:type="dxa"/>
            <w:tcBorders>
              <w:top w:val="nil"/>
              <w:left w:val="nil"/>
              <w:bottom w:val="single" w:sz="4" w:space="0" w:color="auto"/>
              <w:right w:val="single" w:sz="4" w:space="0" w:color="auto"/>
            </w:tcBorders>
            <w:shd w:val="clear" w:color="auto" w:fill="auto"/>
            <w:noWrap/>
            <w:vAlign w:val="bottom"/>
            <w:hideMark/>
          </w:tcPr>
          <w:p w14:paraId="7DB146D4" w14:textId="77777777"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11,431 </w:t>
            </w:r>
          </w:p>
        </w:tc>
        <w:tc>
          <w:tcPr>
            <w:tcW w:w="191" w:type="dxa"/>
            <w:gridSpan w:val="2"/>
            <w:tcBorders>
              <w:top w:val="nil"/>
              <w:left w:val="nil"/>
              <w:bottom w:val="nil"/>
              <w:right w:val="nil"/>
            </w:tcBorders>
            <w:shd w:val="clear" w:color="auto" w:fill="auto"/>
            <w:noWrap/>
            <w:vAlign w:val="bottom"/>
            <w:hideMark/>
          </w:tcPr>
          <w:p w14:paraId="14F7280F" w14:textId="77777777" w:rsidR="00925EFB" w:rsidRPr="00530029" w:rsidRDefault="00925EFB" w:rsidP="00925EFB">
            <w:pPr>
              <w:spacing w:after="0" w:line="240" w:lineRule="auto"/>
              <w:jc w:val="right"/>
              <w:rPr>
                <w:rFonts w:eastAsia="Times New Roman" w:cstheme="minorHAnsi"/>
                <w:color w:val="000000"/>
                <w:sz w:val="18"/>
                <w:szCs w:val="18"/>
                <w:lang w:eastAsia="it-IT"/>
              </w:rPr>
            </w:pPr>
          </w:p>
        </w:tc>
        <w:tc>
          <w:tcPr>
            <w:tcW w:w="228" w:type="dxa"/>
            <w:tcBorders>
              <w:top w:val="nil"/>
              <w:left w:val="single" w:sz="4" w:space="0" w:color="auto"/>
              <w:bottom w:val="nil"/>
              <w:right w:val="nil"/>
            </w:tcBorders>
            <w:shd w:val="clear" w:color="auto" w:fill="auto"/>
            <w:noWrap/>
            <w:vAlign w:val="bottom"/>
            <w:hideMark/>
          </w:tcPr>
          <w:p w14:paraId="68C87EAB" w14:textId="77777777" w:rsidR="00925EFB" w:rsidRPr="00530029" w:rsidRDefault="00925EFB" w:rsidP="00925EFB">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626" w:type="dxa"/>
            <w:tcBorders>
              <w:top w:val="nil"/>
              <w:left w:val="nil"/>
              <w:bottom w:val="nil"/>
              <w:right w:val="nil"/>
            </w:tcBorders>
            <w:shd w:val="clear" w:color="auto" w:fill="auto"/>
            <w:noWrap/>
            <w:vAlign w:val="bottom"/>
            <w:hideMark/>
          </w:tcPr>
          <w:p w14:paraId="6EB0614D" w14:textId="77777777" w:rsidR="00925EFB" w:rsidRPr="00530029" w:rsidRDefault="00925EFB" w:rsidP="00925EFB">
            <w:pPr>
              <w:spacing w:after="0" w:line="240" w:lineRule="auto"/>
              <w:rPr>
                <w:rFonts w:eastAsia="Times New Roman" w:cstheme="minorHAnsi"/>
                <w:color w:val="000000"/>
                <w:sz w:val="18"/>
                <w:szCs w:val="18"/>
                <w:lang w:eastAsia="it-IT"/>
              </w:rPr>
            </w:pPr>
          </w:p>
        </w:tc>
        <w:tc>
          <w:tcPr>
            <w:tcW w:w="769" w:type="dxa"/>
            <w:gridSpan w:val="2"/>
            <w:tcBorders>
              <w:top w:val="nil"/>
              <w:left w:val="nil"/>
              <w:bottom w:val="nil"/>
              <w:right w:val="nil"/>
            </w:tcBorders>
            <w:shd w:val="clear" w:color="auto" w:fill="auto"/>
            <w:noWrap/>
            <w:vAlign w:val="bottom"/>
            <w:hideMark/>
          </w:tcPr>
          <w:p w14:paraId="7F91B87C" w14:textId="77777777" w:rsidR="00925EFB" w:rsidRPr="00530029" w:rsidRDefault="00925EFB" w:rsidP="00925EFB">
            <w:pPr>
              <w:spacing w:after="0" w:line="240" w:lineRule="auto"/>
              <w:rPr>
                <w:rFonts w:eastAsia="Times New Roman" w:cstheme="minorHAnsi"/>
                <w:sz w:val="18"/>
                <w:szCs w:val="18"/>
                <w:lang w:eastAsia="it-IT"/>
              </w:rPr>
            </w:pPr>
          </w:p>
        </w:tc>
      </w:tr>
      <w:tr w:rsidR="00616DC2" w:rsidRPr="00530029" w14:paraId="01DE4BE2" w14:textId="77777777" w:rsidTr="00707455">
        <w:trPr>
          <w:trHeight w:val="257"/>
          <w:jc w:val="center"/>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2D02F595" w14:textId="77777777"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5 </w:t>
            </w:r>
          </w:p>
        </w:tc>
        <w:tc>
          <w:tcPr>
            <w:tcW w:w="845" w:type="dxa"/>
            <w:tcBorders>
              <w:top w:val="nil"/>
              <w:left w:val="nil"/>
              <w:bottom w:val="single" w:sz="4" w:space="0" w:color="auto"/>
              <w:right w:val="single" w:sz="4" w:space="0" w:color="auto"/>
            </w:tcBorders>
            <w:shd w:val="clear" w:color="auto" w:fill="auto"/>
            <w:noWrap/>
            <w:vAlign w:val="bottom"/>
            <w:hideMark/>
          </w:tcPr>
          <w:p w14:paraId="6594297F" w14:textId="77777777"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11,541 </w:t>
            </w:r>
          </w:p>
        </w:tc>
        <w:tc>
          <w:tcPr>
            <w:tcW w:w="146" w:type="dxa"/>
            <w:tcBorders>
              <w:top w:val="nil"/>
              <w:left w:val="nil"/>
              <w:bottom w:val="nil"/>
              <w:right w:val="nil"/>
            </w:tcBorders>
            <w:shd w:val="clear" w:color="auto" w:fill="auto"/>
            <w:noWrap/>
            <w:vAlign w:val="bottom"/>
            <w:hideMark/>
          </w:tcPr>
          <w:p w14:paraId="0008DB36" w14:textId="77777777" w:rsidR="00925EFB" w:rsidRPr="00530029" w:rsidRDefault="00925EFB" w:rsidP="00925EFB">
            <w:pPr>
              <w:spacing w:after="0" w:line="240" w:lineRule="auto"/>
              <w:jc w:val="right"/>
              <w:rPr>
                <w:rFonts w:eastAsia="Times New Roman" w:cstheme="minorHAnsi"/>
                <w:color w:val="000000"/>
                <w:sz w:val="18"/>
                <w:szCs w:val="18"/>
                <w:lang w:eastAsia="it-IT"/>
              </w:rPr>
            </w:pPr>
          </w:p>
        </w:tc>
        <w:tc>
          <w:tcPr>
            <w:tcW w:w="694" w:type="dxa"/>
            <w:tcBorders>
              <w:top w:val="nil"/>
              <w:left w:val="single" w:sz="4" w:space="0" w:color="auto"/>
              <w:bottom w:val="single" w:sz="4" w:space="0" w:color="auto"/>
              <w:right w:val="single" w:sz="4" w:space="0" w:color="auto"/>
            </w:tcBorders>
            <w:shd w:val="clear" w:color="auto" w:fill="auto"/>
            <w:noWrap/>
            <w:vAlign w:val="bottom"/>
            <w:hideMark/>
          </w:tcPr>
          <w:p w14:paraId="6ECE5392" w14:textId="77777777"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5 </w:t>
            </w:r>
          </w:p>
        </w:tc>
        <w:tc>
          <w:tcPr>
            <w:tcW w:w="871" w:type="dxa"/>
            <w:tcBorders>
              <w:top w:val="nil"/>
              <w:left w:val="nil"/>
              <w:bottom w:val="single" w:sz="4" w:space="0" w:color="auto"/>
              <w:right w:val="single" w:sz="4" w:space="0" w:color="auto"/>
            </w:tcBorders>
            <w:shd w:val="clear" w:color="auto" w:fill="auto"/>
            <w:noWrap/>
            <w:vAlign w:val="bottom"/>
            <w:hideMark/>
          </w:tcPr>
          <w:p w14:paraId="7C6907A4" w14:textId="77777777"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11,541 </w:t>
            </w:r>
          </w:p>
        </w:tc>
        <w:tc>
          <w:tcPr>
            <w:tcW w:w="191" w:type="dxa"/>
            <w:gridSpan w:val="2"/>
            <w:tcBorders>
              <w:top w:val="nil"/>
              <w:left w:val="nil"/>
              <w:bottom w:val="nil"/>
              <w:right w:val="nil"/>
            </w:tcBorders>
            <w:shd w:val="clear" w:color="auto" w:fill="auto"/>
            <w:noWrap/>
            <w:vAlign w:val="bottom"/>
            <w:hideMark/>
          </w:tcPr>
          <w:p w14:paraId="645712F1" w14:textId="77777777" w:rsidR="00925EFB" w:rsidRPr="00530029" w:rsidRDefault="00925EFB" w:rsidP="00925EFB">
            <w:pPr>
              <w:spacing w:after="0" w:line="240" w:lineRule="auto"/>
              <w:jc w:val="right"/>
              <w:rPr>
                <w:rFonts w:eastAsia="Times New Roman" w:cstheme="minorHAnsi"/>
                <w:color w:val="000000"/>
                <w:sz w:val="18"/>
                <w:szCs w:val="18"/>
                <w:lang w:eastAsia="it-IT"/>
              </w:rPr>
            </w:pPr>
          </w:p>
        </w:tc>
        <w:tc>
          <w:tcPr>
            <w:tcW w:w="228" w:type="dxa"/>
            <w:tcBorders>
              <w:top w:val="nil"/>
              <w:left w:val="single" w:sz="4" w:space="0" w:color="auto"/>
              <w:bottom w:val="nil"/>
              <w:right w:val="nil"/>
            </w:tcBorders>
            <w:shd w:val="clear" w:color="auto" w:fill="auto"/>
            <w:noWrap/>
            <w:vAlign w:val="bottom"/>
            <w:hideMark/>
          </w:tcPr>
          <w:p w14:paraId="7B7E84D5" w14:textId="77777777" w:rsidR="00925EFB" w:rsidRPr="00530029" w:rsidRDefault="00925EFB" w:rsidP="00925EFB">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626" w:type="dxa"/>
            <w:tcBorders>
              <w:top w:val="nil"/>
              <w:left w:val="nil"/>
              <w:bottom w:val="nil"/>
              <w:right w:val="nil"/>
            </w:tcBorders>
            <w:shd w:val="clear" w:color="auto" w:fill="auto"/>
            <w:noWrap/>
            <w:vAlign w:val="bottom"/>
            <w:hideMark/>
          </w:tcPr>
          <w:p w14:paraId="3FBAE50D" w14:textId="77777777" w:rsidR="00925EFB" w:rsidRPr="00530029" w:rsidRDefault="00925EFB" w:rsidP="00925EFB">
            <w:pPr>
              <w:spacing w:after="0" w:line="240" w:lineRule="auto"/>
              <w:rPr>
                <w:rFonts w:eastAsia="Times New Roman" w:cstheme="minorHAnsi"/>
                <w:color w:val="000000"/>
                <w:sz w:val="18"/>
                <w:szCs w:val="18"/>
                <w:lang w:eastAsia="it-IT"/>
              </w:rPr>
            </w:pPr>
          </w:p>
        </w:tc>
        <w:tc>
          <w:tcPr>
            <w:tcW w:w="769" w:type="dxa"/>
            <w:gridSpan w:val="2"/>
            <w:tcBorders>
              <w:top w:val="nil"/>
              <w:left w:val="nil"/>
              <w:bottom w:val="nil"/>
              <w:right w:val="nil"/>
            </w:tcBorders>
            <w:shd w:val="clear" w:color="auto" w:fill="auto"/>
            <w:noWrap/>
            <w:vAlign w:val="bottom"/>
            <w:hideMark/>
          </w:tcPr>
          <w:p w14:paraId="7FF1FF5B" w14:textId="77777777" w:rsidR="00925EFB" w:rsidRPr="00530029" w:rsidRDefault="00925EFB" w:rsidP="00925EFB">
            <w:pPr>
              <w:spacing w:after="0" w:line="240" w:lineRule="auto"/>
              <w:rPr>
                <w:rFonts w:eastAsia="Times New Roman" w:cstheme="minorHAnsi"/>
                <w:sz w:val="18"/>
                <w:szCs w:val="18"/>
                <w:lang w:eastAsia="it-IT"/>
              </w:rPr>
            </w:pPr>
          </w:p>
        </w:tc>
      </w:tr>
      <w:tr w:rsidR="00616DC2" w:rsidRPr="00530029" w14:paraId="01D6C120" w14:textId="77777777" w:rsidTr="00707455">
        <w:trPr>
          <w:trHeight w:val="257"/>
          <w:jc w:val="center"/>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4811E076" w14:textId="0A282A64"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6 </w:t>
            </w:r>
          </w:p>
        </w:tc>
        <w:tc>
          <w:tcPr>
            <w:tcW w:w="845" w:type="dxa"/>
            <w:tcBorders>
              <w:top w:val="nil"/>
              <w:left w:val="nil"/>
              <w:bottom w:val="single" w:sz="4" w:space="0" w:color="auto"/>
              <w:right w:val="single" w:sz="4" w:space="0" w:color="auto"/>
            </w:tcBorders>
            <w:shd w:val="clear" w:color="auto" w:fill="auto"/>
            <w:noWrap/>
            <w:vAlign w:val="bottom"/>
            <w:hideMark/>
          </w:tcPr>
          <w:p w14:paraId="70DCF405" w14:textId="77777777"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12,751 </w:t>
            </w:r>
          </w:p>
        </w:tc>
        <w:tc>
          <w:tcPr>
            <w:tcW w:w="146" w:type="dxa"/>
            <w:tcBorders>
              <w:top w:val="nil"/>
              <w:left w:val="nil"/>
              <w:bottom w:val="nil"/>
              <w:right w:val="nil"/>
            </w:tcBorders>
            <w:shd w:val="clear" w:color="auto" w:fill="auto"/>
            <w:noWrap/>
            <w:vAlign w:val="bottom"/>
            <w:hideMark/>
          </w:tcPr>
          <w:p w14:paraId="678A5CE6" w14:textId="77777777" w:rsidR="00925EFB" w:rsidRPr="00530029" w:rsidRDefault="00925EFB" w:rsidP="00925EFB">
            <w:pPr>
              <w:spacing w:after="0" w:line="240" w:lineRule="auto"/>
              <w:jc w:val="right"/>
              <w:rPr>
                <w:rFonts w:eastAsia="Times New Roman" w:cstheme="minorHAnsi"/>
                <w:color w:val="000000"/>
                <w:sz w:val="18"/>
                <w:szCs w:val="18"/>
                <w:lang w:eastAsia="it-IT"/>
              </w:rPr>
            </w:pPr>
          </w:p>
        </w:tc>
        <w:tc>
          <w:tcPr>
            <w:tcW w:w="694" w:type="dxa"/>
            <w:tcBorders>
              <w:top w:val="nil"/>
              <w:left w:val="single" w:sz="4" w:space="0" w:color="auto"/>
              <w:bottom w:val="single" w:sz="4" w:space="0" w:color="auto"/>
              <w:right w:val="single" w:sz="4" w:space="0" w:color="auto"/>
            </w:tcBorders>
            <w:shd w:val="clear" w:color="auto" w:fill="auto"/>
            <w:noWrap/>
            <w:vAlign w:val="bottom"/>
            <w:hideMark/>
          </w:tcPr>
          <w:p w14:paraId="421AD1C6" w14:textId="77777777"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6 </w:t>
            </w:r>
          </w:p>
        </w:tc>
        <w:tc>
          <w:tcPr>
            <w:tcW w:w="871" w:type="dxa"/>
            <w:tcBorders>
              <w:top w:val="nil"/>
              <w:left w:val="nil"/>
              <w:bottom w:val="single" w:sz="4" w:space="0" w:color="auto"/>
              <w:right w:val="single" w:sz="4" w:space="0" w:color="auto"/>
            </w:tcBorders>
            <w:shd w:val="clear" w:color="auto" w:fill="auto"/>
            <w:noWrap/>
            <w:vAlign w:val="bottom"/>
            <w:hideMark/>
          </w:tcPr>
          <w:p w14:paraId="19EE7A30" w14:textId="77777777"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12,751 </w:t>
            </w:r>
          </w:p>
        </w:tc>
        <w:tc>
          <w:tcPr>
            <w:tcW w:w="191" w:type="dxa"/>
            <w:gridSpan w:val="2"/>
            <w:tcBorders>
              <w:top w:val="nil"/>
              <w:left w:val="nil"/>
              <w:bottom w:val="nil"/>
              <w:right w:val="nil"/>
            </w:tcBorders>
            <w:shd w:val="clear" w:color="auto" w:fill="auto"/>
            <w:noWrap/>
            <w:vAlign w:val="bottom"/>
            <w:hideMark/>
          </w:tcPr>
          <w:p w14:paraId="6CD2546F" w14:textId="77777777" w:rsidR="00925EFB" w:rsidRPr="00530029" w:rsidRDefault="00925EFB" w:rsidP="00925EFB">
            <w:pPr>
              <w:spacing w:after="0" w:line="240" w:lineRule="auto"/>
              <w:jc w:val="right"/>
              <w:rPr>
                <w:rFonts w:eastAsia="Times New Roman" w:cstheme="minorHAnsi"/>
                <w:color w:val="000000"/>
                <w:sz w:val="18"/>
                <w:szCs w:val="18"/>
                <w:lang w:eastAsia="it-IT"/>
              </w:rPr>
            </w:pPr>
          </w:p>
        </w:tc>
        <w:tc>
          <w:tcPr>
            <w:tcW w:w="228" w:type="dxa"/>
            <w:tcBorders>
              <w:top w:val="nil"/>
              <w:left w:val="single" w:sz="4" w:space="0" w:color="auto"/>
              <w:bottom w:val="nil"/>
              <w:right w:val="nil"/>
            </w:tcBorders>
            <w:shd w:val="clear" w:color="auto" w:fill="auto"/>
            <w:noWrap/>
            <w:vAlign w:val="bottom"/>
            <w:hideMark/>
          </w:tcPr>
          <w:p w14:paraId="5BFE0DB9" w14:textId="77777777" w:rsidR="00925EFB" w:rsidRPr="00530029" w:rsidRDefault="00925EFB" w:rsidP="00925EFB">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6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616586" w14:textId="77777777"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6 </w:t>
            </w:r>
          </w:p>
        </w:tc>
        <w:tc>
          <w:tcPr>
            <w:tcW w:w="769" w:type="dxa"/>
            <w:gridSpan w:val="2"/>
            <w:tcBorders>
              <w:top w:val="single" w:sz="4" w:space="0" w:color="auto"/>
              <w:left w:val="nil"/>
              <w:bottom w:val="single" w:sz="4" w:space="0" w:color="auto"/>
              <w:right w:val="single" w:sz="4" w:space="0" w:color="auto"/>
            </w:tcBorders>
            <w:shd w:val="clear" w:color="auto" w:fill="auto"/>
            <w:noWrap/>
            <w:vAlign w:val="bottom"/>
            <w:hideMark/>
          </w:tcPr>
          <w:p w14:paraId="7F808E0F" w14:textId="77777777"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0,494 </w:t>
            </w:r>
          </w:p>
        </w:tc>
      </w:tr>
      <w:tr w:rsidR="00616DC2" w:rsidRPr="00530029" w14:paraId="55F90D2B" w14:textId="77777777" w:rsidTr="00707455">
        <w:trPr>
          <w:trHeight w:val="257"/>
          <w:jc w:val="center"/>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26BB9CDA" w14:textId="77777777"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7 </w:t>
            </w:r>
          </w:p>
        </w:tc>
        <w:tc>
          <w:tcPr>
            <w:tcW w:w="845" w:type="dxa"/>
            <w:tcBorders>
              <w:top w:val="nil"/>
              <w:left w:val="nil"/>
              <w:bottom w:val="single" w:sz="4" w:space="0" w:color="auto"/>
              <w:right w:val="single" w:sz="4" w:space="0" w:color="auto"/>
            </w:tcBorders>
            <w:shd w:val="clear" w:color="auto" w:fill="auto"/>
            <w:noWrap/>
            <w:vAlign w:val="bottom"/>
            <w:hideMark/>
          </w:tcPr>
          <w:p w14:paraId="067D21D4" w14:textId="77777777"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12,961 </w:t>
            </w:r>
          </w:p>
        </w:tc>
        <w:tc>
          <w:tcPr>
            <w:tcW w:w="146" w:type="dxa"/>
            <w:tcBorders>
              <w:top w:val="nil"/>
              <w:left w:val="nil"/>
              <w:bottom w:val="nil"/>
              <w:right w:val="nil"/>
            </w:tcBorders>
            <w:shd w:val="clear" w:color="auto" w:fill="auto"/>
            <w:noWrap/>
            <w:vAlign w:val="bottom"/>
            <w:hideMark/>
          </w:tcPr>
          <w:p w14:paraId="09878933" w14:textId="77777777" w:rsidR="00925EFB" w:rsidRPr="00530029" w:rsidRDefault="00925EFB" w:rsidP="00925EFB">
            <w:pPr>
              <w:spacing w:after="0" w:line="240" w:lineRule="auto"/>
              <w:jc w:val="right"/>
              <w:rPr>
                <w:rFonts w:eastAsia="Times New Roman" w:cstheme="minorHAnsi"/>
                <w:color w:val="000000"/>
                <w:sz w:val="18"/>
                <w:szCs w:val="18"/>
                <w:lang w:eastAsia="it-IT"/>
              </w:rPr>
            </w:pPr>
          </w:p>
        </w:tc>
        <w:tc>
          <w:tcPr>
            <w:tcW w:w="694" w:type="dxa"/>
            <w:tcBorders>
              <w:top w:val="nil"/>
              <w:left w:val="single" w:sz="4" w:space="0" w:color="auto"/>
              <w:bottom w:val="single" w:sz="4" w:space="0" w:color="auto"/>
              <w:right w:val="single" w:sz="4" w:space="0" w:color="auto"/>
            </w:tcBorders>
            <w:shd w:val="clear" w:color="auto" w:fill="auto"/>
            <w:noWrap/>
            <w:vAlign w:val="bottom"/>
            <w:hideMark/>
          </w:tcPr>
          <w:p w14:paraId="2FA7326F" w14:textId="77777777"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7 </w:t>
            </w:r>
          </w:p>
        </w:tc>
        <w:tc>
          <w:tcPr>
            <w:tcW w:w="871" w:type="dxa"/>
            <w:tcBorders>
              <w:top w:val="nil"/>
              <w:left w:val="nil"/>
              <w:bottom w:val="single" w:sz="4" w:space="0" w:color="auto"/>
              <w:right w:val="single" w:sz="4" w:space="0" w:color="auto"/>
            </w:tcBorders>
            <w:shd w:val="clear" w:color="auto" w:fill="auto"/>
            <w:noWrap/>
            <w:vAlign w:val="bottom"/>
            <w:hideMark/>
          </w:tcPr>
          <w:p w14:paraId="3C469C0C" w14:textId="77777777"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12,961 </w:t>
            </w:r>
          </w:p>
        </w:tc>
        <w:tc>
          <w:tcPr>
            <w:tcW w:w="191" w:type="dxa"/>
            <w:gridSpan w:val="2"/>
            <w:tcBorders>
              <w:top w:val="nil"/>
              <w:left w:val="nil"/>
              <w:bottom w:val="nil"/>
              <w:right w:val="nil"/>
            </w:tcBorders>
            <w:shd w:val="clear" w:color="auto" w:fill="auto"/>
            <w:noWrap/>
            <w:vAlign w:val="bottom"/>
            <w:hideMark/>
          </w:tcPr>
          <w:p w14:paraId="7BDD5C63" w14:textId="77777777" w:rsidR="00925EFB" w:rsidRPr="00530029" w:rsidRDefault="00925EFB" w:rsidP="00925EFB">
            <w:pPr>
              <w:spacing w:after="0" w:line="240" w:lineRule="auto"/>
              <w:jc w:val="right"/>
              <w:rPr>
                <w:rFonts w:eastAsia="Times New Roman" w:cstheme="minorHAnsi"/>
                <w:color w:val="000000"/>
                <w:sz w:val="18"/>
                <w:szCs w:val="18"/>
                <w:lang w:eastAsia="it-IT"/>
              </w:rPr>
            </w:pPr>
          </w:p>
        </w:tc>
        <w:tc>
          <w:tcPr>
            <w:tcW w:w="228" w:type="dxa"/>
            <w:tcBorders>
              <w:top w:val="nil"/>
              <w:left w:val="single" w:sz="4" w:space="0" w:color="auto"/>
              <w:bottom w:val="nil"/>
              <w:right w:val="nil"/>
            </w:tcBorders>
            <w:shd w:val="clear" w:color="auto" w:fill="auto"/>
            <w:noWrap/>
            <w:vAlign w:val="bottom"/>
            <w:hideMark/>
          </w:tcPr>
          <w:p w14:paraId="762E2E9C" w14:textId="77777777" w:rsidR="00925EFB" w:rsidRPr="00530029" w:rsidRDefault="00925EFB" w:rsidP="00925EFB">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626" w:type="dxa"/>
            <w:tcBorders>
              <w:top w:val="nil"/>
              <w:left w:val="single" w:sz="4" w:space="0" w:color="auto"/>
              <w:bottom w:val="single" w:sz="4" w:space="0" w:color="auto"/>
              <w:right w:val="single" w:sz="4" w:space="0" w:color="auto"/>
            </w:tcBorders>
            <w:shd w:val="clear" w:color="auto" w:fill="auto"/>
            <w:noWrap/>
            <w:vAlign w:val="bottom"/>
            <w:hideMark/>
          </w:tcPr>
          <w:p w14:paraId="64BEFF32" w14:textId="77777777"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7 </w:t>
            </w:r>
          </w:p>
        </w:tc>
        <w:tc>
          <w:tcPr>
            <w:tcW w:w="769" w:type="dxa"/>
            <w:gridSpan w:val="2"/>
            <w:tcBorders>
              <w:top w:val="nil"/>
              <w:left w:val="nil"/>
              <w:bottom w:val="single" w:sz="4" w:space="0" w:color="auto"/>
              <w:right w:val="single" w:sz="4" w:space="0" w:color="auto"/>
            </w:tcBorders>
            <w:shd w:val="clear" w:color="auto" w:fill="auto"/>
            <w:noWrap/>
            <w:vAlign w:val="bottom"/>
            <w:hideMark/>
          </w:tcPr>
          <w:p w14:paraId="0E5109FE" w14:textId="77777777"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0,704 </w:t>
            </w:r>
          </w:p>
        </w:tc>
      </w:tr>
      <w:tr w:rsidR="00616DC2" w:rsidRPr="00530029" w14:paraId="726FD332" w14:textId="77777777" w:rsidTr="00707455">
        <w:trPr>
          <w:trHeight w:val="257"/>
          <w:jc w:val="center"/>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4E7B17CB" w14:textId="77777777"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8 </w:t>
            </w:r>
          </w:p>
        </w:tc>
        <w:tc>
          <w:tcPr>
            <w:tcW w:w="845" w:type="dxa"/>
            <w:tcBorders>
              <w:top w:val="nil"/>
              <w:left w:val="nil"/>
              <w:bottom w:val="single" w:sz="4" w:space="0" w:color="auto"/>
              <w:right w:val="single" w:sz="4" w:space="0" w:color="auto"/>
            </w:tcBorders>
            <w:shd w:val="clear" w:color="auto" w:fill="auto"/>
            <w:noWrap/>
            <w:vAlign w:val="bottom"/>
            <w:hideMark/>
          </w:tcPr>
          <w:p w14:paraId="634C932C" w14:textId="77777777"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13,471 </w:t>
            </w:r>
          </w:p>
        </w:tc>
        <w:tc>
          <w:tcPr>
            <w:tcW w:w="146" w:type="dxa"/>
            <w:tcBorders>
              <w:top w:val="nil"/>
              <w:left w:val="nil"/>
              <w:bottom w:val="nil"/>
              <w:right w:val="nil"/>
            </w:tcBorders>
            <w:shd w:val="clear" w:color="auto" w:fill="auto"/>
            <w:noWrap/>
            <w:vAlign w:val="bottom"/>
            <w:hideMark/>
          </w:tcPr>
          <w:p w14:paraId="0BB6E351" w14:textId="77777777" w:rsidR="00925EFB" w:rsidRPr="00530029" w:rsidRDefault="00925EFB" w:rsidP="00925EFB">
            <w:pPr>
              <w:spacing w:after="0" w:line="240" w:lineRule="auto"/>
              <w:jc w:val="right"/>
              <w:rPr>
                <w:rFonts w:eastAsia="Times New Roman" w:cstheme="minorHAnsi"/>
                <w:color w:val="000000"/>
                <w:sz w:val="18"/>
                <w:szCs w:val="18"/>
                <w:lang w:eastAsia="it-IT"/>
              </w:rPr>
            </w:pPr>
          </w:p>
        </w:tc>
        <w:tc>
          <w:tcPr>
            <w:tcW w:w="694" w:type="dxa"/>
            <w:tcBorders>
              <w:top w:val="nil"/>
              <w:left w:val="single" w:sz="4" w:space="0" w:color="auto"/>
              <w:bottom w:val="single" w:sz="4" w:space="0" w:color="auto"/>
              <w:right w:val="single" w:sz="4" w:space="0" w:color="auto"/>
            </w:tcBorders>
            <w:shd w:val="clear" w:color="auto" w:fill="auto"/>
            <w:noWrap/>
            <w:vAlign w:val="bottom"/>
            <w:hideMark/>
          </w:tcPr>
          <w:p w14:paraId="023B5639" w14:textId="77777777"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8 </w:t>
            </w:r>
          </w:p>
        </w:tc>
        <w:tc>
          <w:tcPr>
            <w:tcW w:w="871" w:type="dxa"/>
            <w:tcBorders>
              <w:top w:val="nil"/>
              <w:left w:val="nil"/>
              <w:bottom w:val="single" w:sz="4" w:space="0" w:color="auto"/>
              <w:right w:val="single" w:sz="4" w:space="0" w:color="auto"/>
            </w:tcBorders>
            <w:shd w:val="clear" w:color="auto" w:fill="auto"/>
            <w:noWrap/>
            <w:vAlign w:val="bottom"/>
            <w:hideMark/>
          </w:tcPr>
          <w:p w14:paraId="39677A3C" w14:textId="77777777"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13,471 </w:t>
            </w:r>
          </w:p>
        </w:tc>
        <w:tc>
          <w:tcPr>
            <w:tcW w:w="191" w:type="dxa"/>
            <w:gridSpan w:val="2"/>
            <w:tcBorders>
              <w:top w:val="nil"/>
              <w:left w:val="nil"/>
              <w:bottom w:val="nil"/>
              <w:right w:val="nil"/>
            </w:tcBorders>
            <w:shd w:val="clear" w:color="auto" w:fill="auto"/>
            <w:noWrap/>
            <w:vAlign w:val="bottom"/>
            <w:hideMark/>
          </w:tcPr>
          <w:p w14:paraId="51C92C1C" w14:textId="77777777" w:rsidR="00925EFB" w:rsidRPr="00530029" w:rsidRDefault="00925EFB" w:rsidP="00925EFB">
            <w:pPr>
              <w:spacing w:after="0" w:line="240" w:lineRule="auto"/>
              <w:jc w:val="right"/>
              <w:rPr>
                <w:rFonts w:eastAsia="Times New Roman" w:cstheme="minorHAnsi"/>
                <w:color w:val="000000"/>
                <w:sz w:val="18"/>
                <w:szCs w:val="18"/>
                <w:lang w:eastAsia="it-IT"/>
              </w:rPr>
            </w:pPr>
          </w:p>
        </w:tc>
        <w:tc>
          <w:tcPr>
            <w:tcW w:w="228" w:type="dxa"/>
            <w:tcBorders>
              <w:top w:val="nil"/>
              <w:left w:val="single" w:sz="4" w:space="0" w:color="auto"/>
              <w:bottom w:val="nil"/>
              <w:right w:val="nil"/>
            </w:tcBorders>
            <w:shd w:val="clear" w:color="auto" w:fill="auto"/>
            <w:noWrap/>
            <w:vAlign w:val="bottom"/>
            <w:hideMark/>
          </w:tcPr>
          <w:p w14:paraId="2DAE16A0" w14:textId="77777777" w:rsidR="00925EFB" w:rsidRPr="00530029" w:rsidRDefault="00925EFB" w:rsidP="00925EFB">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626" w:type="dxa"/>
            <w:tcBorders>
              <w:top w:val="nil"/>
              <w:left w:val="single" w:sz="4" w:space="0" w:color="auto"/>
              <w:bottom w:val="single" w:sz="4" w:space="0" w:color="auto"/>
              <w:right w:val="single" w:sz="4" w:space="0" w:color="auto"/>
            </w:tcBorders>
            <w:shd w:val="clear" w:color="auto" w:fill="auto"/>
            <w:noWrap/>
            <w:vAlign w:val="bottom"/>
            <w:hideMark/>
          </w:tcPr>
          <w:p w14:paraId="0AA6B38C" w14:textId="77777777"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8 </w:t>
            </w:r>
          </w:p>
        </w:tc>
        <w:tc>
          <w:tcPr>
            <w:tcW w:w="769" w:type="dxa"/>
            <w:gridSpan w:val="2"/>
            <w:tcBorders>
              <w:top w:val="nil"/>
              <w:left w:val="nil"/>
              <w:bottom w:val="single" w:sz="4" w:space="0" w:color="auto"/>
              <w:right w:val="single" w:sz="4" w:space="0" w:color="auto"/>
            </w:tcBorders>
            <w:shd w:val="clear" w:color="auto" w:fill="auto"/>
            <w:noWrap/>
            <w:vAlign w:val="bottom"/>
            <w:hideMark/>
          </w:tcPr>
          <w:p w14:paraId="3842B6E9" w14:textId="77777777"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1,214 </w:t>
            </w:r>
          </w:p>
        </w:tc>
      </w:tr>
      <w:tr w:rsidR="00616DC2" w:rsidRPr="00530029" w14:paraId="11F1C20B" w14:textId="77777777" w:rsidTr="00707455">
        <w:trPr>
          <w:trHeight w:val="257"/>
          <w:jc w:val="center"/>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47061B1A" w14:textId="790AEC70"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9 </w:t>
            </w:r>
          </w:p>
        </w:tc>
        <w:tc>
          <w:tcPr>
            <w:tcW w:w="845" w:type="dxa"/>
            <w:tcBorders>
              <w:top w:val="nil"/>
              <w:left w:val="nil"/>
              <w:bottom w:val="single" w:sz="4" w:space="0" w:color="auto"/>
              <w:right w:val="single" w:sz="4" w:space="0" w:color="auto"/>
            </w:tcBorders>
            <w:shd w:val="clear" w:color="auto" w:fill="auto"/>
            <w:noWrap/>
            <w:vAlign w:val="bottom"/>
            <w:hideMark/>
          </w:tcPr>
          <w:p w14:paraId="504A8AB0" w14:textId="77777777"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13,581 </w:t>
            </w:r>
          </w:p>
        </w:tc>
        <w:tc>
          <w:tcPr>
            <w:tcW w:w="146" w:type="dxa"/>
            <w:tcBorders>
              <w:top w:val="nil"/>
              <w:left w:val="nil"/>
              <w:bottom w:val="nil"/>
              <w:right w:val="nil"/>
            </w:tcBorders>
            <w:shd w:val="clear" w:color="auto" w:fill="auto"/>
            <w:noWrap/>
            <w:vAlign w:val="bottom"/>
            <w:hideMark/>
          </w:tcPr>
          <w:p w14:paraId="56B75E66" w14:textId="77777777" w:rsidR="00925EFB" w:rsidRPr="00530029" w:rsidRDefault="00925EFB" w:rsidP="00925EFB">
            <w:pPr>
              <w:spacing w:after="0" w:line="240" w:lineRule="auto"/>
              <w:jc w:val="right"/>
              <w:rPr>
                <w:rFonts w:eastAsia="Times New Roman" w:cstheme="minorHAnsi"/>
                <w:color w:val="000000"/>
                <w:sz w:val="18"/>
                <w:szCs w:val="18"/>
                <w:lang w:eastAsia="it-IT"/>
              </w:rPr>
            </w:pPr>
          </w:p>
        </w:tc>
        <w:tc>
          <w:tcPr>
            <w:tcW w:w="694" w:type="dxa"/>
            <w:tcBorders>
              <w:top w:val="nil"/>
              <w:left w:val="single" w:sz="4" w:space="0" w:color="auto"/>
              <w:bottom w:val="single" w:sz="4" w:space="0" w:color="auto"/>
              <w:right w:val="single" w:sz="4" w:space="0" w:color="auto"/>
            </w:tcBorders>
            <w:shd w:val="clear" w:color="auto" w:fill="auto"/>
            <w:noWrap/>
            <w:vAlign w:val="bottom"/>
            <w:hideMark/>
          </w:tcPr>
          <w:p w14:paraId="53AD4E70" w14:textId="77777777"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9 </w:t>
            </w:r>
          </w:p>
        </w:tc>
        <w:tc>
          <w:tcPr>
            <w:tcW w:w="871" w:type="dxa"/>
            <w:tcBorders>
              <w:top w:val="nil"/>
              <w:left w:val="nil"/>
              <w:bottom w:val="single" w:sz="4" w:space="0" w:color="auto"/>
              <w:right w:val="single" w:sz="4" w:space="0" w:color="auto"/>
            </w:tcBorders>
            <w:shd w:val="clear" w:color="auto" w:fill="auto"/>
            <w:noWrap/>
            <w:vAlign w:val="bottom"/>
            <w:hideMark/>
          </w:tcPr>
          <w:p w14:paraId="3AA7014B" w14:textId="77777777"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13,581 </w:t>
            </w:r>
          </w:p>
        </w:tc>
        <w:tc>
          <w:tcPr>
            <w:tcW w:w="191" w:type="dxa"/>
            <w:gridSpan w:val="2"/>
            <w:tcBorders>
              <w:top w:val="nil"/>
              <w:left w:val="nil"/>
              <w:bottom w:val="nil"/>
              <w:right w:val="nil"/>
            </w:tcBorders>
            <w:shd w:val="clear" w:color="auto" w:fill="auto"/>
            <w:noWrap/>
            <w:vAlign w:val="bottom"/>
            <w:hideMark/>
          </w:tcPr>
          <w:p w14:paraId="33E97596" w14:textId="77777777" w:rsidR="00925EFB" w:rsidRPr="00530029" w:rsidRDefault="00925EFB" w:rsidP="00925EFB">
            <w:pPr>
              <w:spacing w:after="0" w:line="240" w:lineRule="auto"/>
              <w:jc w:val="right"/>
              <w:rPr>
                <w:rFonts w:eastAsia="Times New Roman" w:cstheme="minorHAnsi"/>
                <w:color w:val="000000"/>
                <w:sz w:val="18"/>
                <w:szCs w:val="18"/>
                <w:lang w:eastAsia="it-IT"/>
              </w:rPr>
            </w:pPr>
          </w:p>
        </w:tc>
        <w:tc>
          <w:tcPr>
            <w:tcW w:w="228" w:type="dxa"/>
            <w:tcBorders>
              <w:top w:val="nil"/>
              <w:left w:val="single" w:sz="4" w:space="0" w:color="auto"/>
              <w:bottom w:val="nil"/>
              <w:right w:val="nil"/>
            </w:tcBorders>
            <w:shd w:val="clear" w:color="auto" w:fill="auto"/>
            <w:noWrap/>
            <w:vAlign w:val="bottom"/>
            <w:hideMark/>
          </w:tcPr>
          <w:p w14:paraId="1E50BF14" w14:textId="77777777" w:rsidR="00925EFB" w:rsidRPr="00530029" w:rsidRDefault="00925EFB" w:rsidP="00925EFB">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626" w:type="dxa"/>
            <w:tcBorders>
              <w:top w:val="nil"/>
              <w:left w:val="single" w:sz="4" w:space="0" w:color="auto"/>
              <w:bottom w:val="single" w:sz="4" w:space="0" w:color="auto"/>
              <w:right w:val="single" w:sz="4" w:space="0" w:color="auto"/>
            </w:tcBorders>
            <w:shd w:val="clear" w:color="auto" w:fill="auto"/>
            <w:noWrap/>
            <w:vAlign w:val="bottom"/>
            <w:hideMark/>
          </w:tcPr>
          <w:p w14:paraId="1ABF35F7" w14:textId="77777777"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9 </w:t>
            </w:r>
          </w:p>
        </w:tc>
        <w:tc>
          <w:tcPr>
            <w:tcW w:w="769" w:type="dxa"/>
            <w:gridSpan w:val="2"/>
            <w:tcBorders>
              <w:top w:val="nil"/>
              <w:left w:val="nil"/>
              <w:bottom w:val="single" w:sz="4" w:space="0" w:color="auto"/>
              <w:right w:val="single" w:sz="4" w:space="0" w:color="auto"/>
            </w:tcBorders>
            <w:shd w:val="clear" w:color="auto" w:fill="auto"/>
            <w:noWrap/>
            <w:vAlign w:val="bottom"/>
            <w:hideMark/>
          </w:tcPr>
          <w:p w14:paraId="3485F416" w14:textId="77777777"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1,324 </w:t>
            </w:r>
          </w:p>
        </w:tc>
      </w:tr>
      <w:tr w:rsidR="00616DC2" w:rsidRPr="00530029" w14:paraId="08864039" w14:textId="77777777" w:rsidTr="00707455">
        <w:trPr>
          <w:trHeight w:val="257"/>
          <w:jc w:val="center"/>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14:paraId="02ADCF81" w14:textId="23BAF3C9" w:rsidR="00925EFB" w:rsidRPr="00530029" w:rsidRDefault="00925EFB" w:rsidP="00925EFB">
            <w:pPr>
              <w:spacing w:after="0" w:line="240" w:lineRule="auto"/>
              <w:jc w:val="right"/>
              <w:rPr>
                <w:rFonts w:eastAsia="Times New Roman" w:cstheme="minorHAnsi"/>
                <w:color w:val="FF0000"/>
                <w:sz w:val="18"/>
                <w:szCs w:val="18"/>
                <w:lang w:eastAsia="it-IT"/>
              </w:rPr>
            </w:pPr>
            <w:r w:rsidRPr="00530029">
              <w:rPr>
                <w:rFonts w:eastAsia="Times New Roman" w:cstheme="minorHAnsi"/>
                <w:strike/>
                <w:color w:val="FF0000"/>
                <w:sz w:val="18"/>
                <w:szCs w:val="18"/>
                <w:lang w:eastAsia="it-IT"/>
              </w:rPr>
              <w:t xml:space="preserve">10 </w:t>
            </w:r>
          </w:p>
        </w:tc>
        <w:tc>
          <w:tcPr>
            <w:tcW w:w="845" w:type="dxa"/>
            <w:tcBorders>
              <w:top w:val="nil"/>
              <w:left w:val="nil"/>
              <w:bottom w:val="single" w:sz="4" w:space="0" w:color="auto"/>
              <w:right w:val="single" w:sz="4" w:space="0" w:color="auto"/>
            </w:tcBorders>
            <w:shd w:val="clear" w:color="auto" w:fill="auto"/>
            <w:noWrap/>
            <w:vAlign w:val="bottom"/>
            <w:hideMark/>
          </w:tcPr>
          <w:p w14:paraId="60FE417B" w14:textId="77777777" w:rsidR="00925EFB" w:rsidRPr="00530029" w:rsidRDefault="00925EFB" w:rsidP="00925EFB">
            <w:pPr>
              <w:spacing w:after="0" w:line="240" w:lineRule="auto"/>
              <w:jc w:val="right"/>
              <w:rPr>
                <w:rFonts w:eastAsia="Times New Roman" w:cstheme="minorHAnsi"/>
                <w:color w:val="FF0000"/>
                <w:sz w:val="18"/>
                <w:szCs w:val="18"/>
                <w:lang w:eastAsia="it-IT"/>
              </w:rPr>
            </w:pPr>
            <w:r w:rsidRPr="00530029">
              <w:rPr>
                <w:rFonts w:eastAsia="Times New Roman" w:cstheme="minorHAnsi"/>
                <w:strike/>
                <w:color w:val="FF0000"/>
                <w:sz w:val="18"/>
                <w:szCs w:val="18"/>
                <w:lang w:eastAsia="it-IT"/>
              </w:rPr>
              <w:t xml:space="preserve">13,910 </w:t>
            </w:r>
          </w:p>
        </w:tc>
        <w:tc>
          <w:tcPr>
            <w:tcW w:w="146" w:type="dxa"/>
            <w:tcBorders>
              <w:top w:val="nil"/>
              <w:left w:val="nil"/>
              <w:bottom w:val="nil"/>
              <w:right w:val="nil"/>
            </w:tcBorders>
            <w:shd w:val="clear" w:color="auto" w:fill="auto"/>
            <w:noWrap/>
            <w:vAlign w:val="bottom"/>
            <w:hideMark/>
          </w:tcPr>
          <w:p w14:paraId="1522FFAE" w14:textId="77777777" w:rsidR="00925EFB" w:rsidRPr="00530029" w:rsidRDefault="00925EFB" w:rsidP="00925EFB">
            <w:pPr>
              <w:spacing w:after="0" w:line="240" w:lineRule="auto"/>
              <w:jc w:val="right"/>
              <w:rPr>
                <w:rFonts w:eastAsia="Times New Roman" w:cstheme="minorHAnsi"/>
                <w:color w:val="000000"/>
                <w:sz w:val="18"/>
                <w:szCs w:val="18"/>
                <w:lang w:eastAsia="it-IT"/>
              </w:rPr>
            </w:pPr>
          </w:p>
        </w:tc>
        <w:tc>
          <w:tcPr>
            <w:tcW w:w="694" w:type="dxa"/>
            <w:tcBorders>
              <w:top w:val="nil"/>
              <w:left w:val="nil"/>
              <w:right w:val="nil"/>
            </w:tcBorders>
            <w:shd w:val="clear" w:color="auto" w:fill="auto"/>
            <w:noWrap/>
            <w:vAlign w:val="bottom"/>
            <w:hideMark/>
          </w:tcPr>
          <w:p w14:paraId="7AB76137" w14:textId="77777777" w:rsidR="00925EFB" w:rsidRPr="00530029" w:rsidRDefault="00925EFB" w:rsidP="00925EFB">
            <w:pPr>
              <w:spacing w:after="0" w:line="240" w:lineRule="auto"/>
              <w:rPr>
                <w:rFonts w:eastAsia="Times New Roman" w:cstheme="minorHAnsi"/>
                <w:sz w:val="18"/>
                <w:szCs w:val="18"/>
                <w:lang w:eastAsia="it-IT"/>
              </w:rPr>
            </w:pPr>
          </w:p>
        </w:tc>
        <w:tc>
          <w:tcPr>
            <w:tcW w:w="871" w:type="dxa"/>
            <w:tcBorders>
              <w:top w:val="nil"/>
              <w:left w:val="nil"/>
              <w:right w:val="nil"/>
            </w:tcBorders>
            <w:shd w:val="clear" w:color="auto" w:fill="auto"/>
            <w:noWrap/>
            <w:vAlign w:val="bottom"/>
            <w:hideMark/>
          </w:tcPr>
          <w:p w14:paraId="68198539" w14:textId="77777777" w:rsidR="00925EFB" w:rsidRPr="00530029" w:rsidRDefault="00925EFB" w:rsidP="00925EFB">
            <w:pPr>
              <w:spacing w:after="0" w:line="240" w:lineRule="auto"/>
              <w:rPr>
                <w:rFonts w:eastAsia="Times New Roman" w:cstheme="minorHAnsi"/>
                <w:sz w:val="18"/>
                <w:szCs w:val="18"/>
                <w:lang w:eastAsia="it-IT"/>
              </w:rPr>
            </w:pPr>
          </w:p>
        </w:tc>
        <w:tc>
          <w:tcPr>
            <w:tcW w:w="191" w:type="dxa"/>
            <w:gridSpan w:val="2"/>
            <w:tcBorders>
              <w:top w:val="nil"/>
              <w:left w:val="nil"/>
              <w:bottom w:val="nil"/>
              <w:right w:val="nil"/>
            </w:tcBorders>
            <w:shd w:val="clear" w:color="auto" w:fill="auto"/>
            <w:noWrap/>
            <w:vAlign w:val="bottom"/>
            <w:hideMark/>
          </w:tcPr>
          <w:p w14:paraId="3618BA7E" w14:textId="77777777" w:rsidR="00925EFB" w:rsidRPr="00530029" w:rsidRDefault="00925EFB" w:rsidP="00925EFB">
            <w:pPr>
              <w:spacing w:after="0" w:line="240" w:lineRule="auto"/>
              <w:rPr>
                <w:rFonts w:eastAsia="Times New Roman" w:cstheme="minorHAnsi"/>
                <w:sz w:val="18"/>
                <w:szCs w:val="18"/>
                <w:lang w:eastAsia="it-IT"/>
              </w:rPr>
            </w:pPr>
          </w:p>
        </w:tc>
        <w:tc>
          <w:tcPr>
            <w:tcW w:w="228" w:type="dxa"/>
            <w:tcBorders>
              <w:top w:val="nil"/>
              <w:left w:val="single" w:sz="4" w:space="0" w:color="auto"/>
              <w:bottom w:val="nil"/>
              <w:right w:val="nil"/>
            </w:tcBorders>
            <w:shd w:val="clear" w:color="auto" w:fill="auto"/>
            <w:noWrap/>
            <w:vAlign w:val="bottom"/>
            <w:hideMark/>
          </w:tcPr>
          <w:p w14:paraId="6DB744FE" w14:textId="77777777" w:rsidR="00925EFB" w:rsidRPr="00530029" w:rsidRDefault="00925EFB" w:rsidP="00925EFB">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626" w:type="dxa"/>
            <w:tcBorders>
              <w:top w:val="nil"/>
              <w:left w:val="nil"/>
              <w:bottom w:val="nil"/>
              <w:right w:val="nil"/>
            </w:tcBorders>
            <w:shd w:val="clear" w:color="auto" w:fill="auto"/>
            <w:noWrap/>
            <w:vAlign w:val="bottom"/>
            <w:hideMark/>
          </w:tcPr>
          <w:p w14:paraId="2ADEC095" w14:textId="77777777" w:rsidR="00925EFB" w:rsidRPr="00530029" w:rsidRDefault="00925EFB" w:rsidP="00925EFB">
            <w:pPr>
              <w:spacing w:after="0" w:line="240" w:lineRule="auto"/>
              <w:rPr>
                <w:rFonts w:eastAsia="Times New Roman" w:cstheme="minorHAnsi"/>
                <w:color w:val="000000"/>
                <w:sz w:val="18"/>
                <w:szCs w:val="18"/>
                <w:lang w:eastAsia="it-IT"/>
              </w:rPr>
            </w:pPr>
          </w:p>
        </w:tc>
        <w:tc>
          <w:tcPr>
            <w:tcW w:w="769" w:type="dxa"/>
            <w:gridSpan w:val="2"/>
            <w:tcBorders>
              <w:top w:val="nil"/>
              <w:left w:val="nil"/>
              <w:bottom w:val="nil"/>
              <w:right w:val="nil"/>
            </w:tcBorders>
            <w:shd w:val="clear" w:color="auto" w:fill="auto"/>
            <w:noWrap/>
            <w:vAlign w:val="bottom"/>
            <w:hideMark/>
          </w:tcPr>
          <w:p w14:paraId="3E8ED4CB" w14:textId="77777777" w:rsidR="00925EFB" w:rsidRPr="00530029" w:rsidRDefault="00925EFB" w:rsidP="00925EFB">
            <w:pPr>
              <w:spacing w:after="0" w:line="240" w:lineRule="auto"/>
              <w:rPr>
                <w:rFonts w:eastAsia="Times New Roman" w:cstheme="minorHAnsi"/>
                <w:sz w:val="18"/>
                <w:szCs w:val="18"/>
                <w:lang w:eastAsia="it-IT"/>
              </w:rPr>
            </w:pPr>
          </w:p>
        </w:tc>
      </w:tr>
      <w:tr w:rsidR="00616DC2" w:rsidRPr="00530029" w14:paraId="431016D3" w14:textId="77777777" w:rsidTr="00CB2616">
        <w:trPr>
          <w:trHeight w:val="257"/>
          <w:jc w:val="center"/>
        </w:trPr>
        <w:tc>
          <w:tcPr>
            <w:tcW w:w="725" w:type="dxa"/>
            <w:tcBorders>
              <w:top w:val="nil"/>
              <w:left w:val="nil"/>
              <w:bottom w:val="nil"/>
              <w:right w:val="nil"/>
            </w:tcBorders>
            <w:shd w:val="clear" w:color="auto" w:fill="auto"/>
            <w:noWrap/>
            <w:vAlign w:val="bottom"/>
            <w:hideMark/>
          </w:tcPr>
          <w:p w14:paraId="746B2056" w14:textId="77777777" w:rsidR="00925EFB" w:rsidRPr="00530029" w:rsidRDefault="00925EFB" w:rsidP="00925EFB">
            <w:pPr>
              <w:spacing w:after="0" w:line="240" w:lineRule="auto"/>
              <w:rPr>
                <w:rFonts w:eastAsia="Times New Roman" w:cstheme="minorHAnsi"/>
                <w:sz w:val="18"/>
                <w:szCs w:val="18"/>
                <w:lang w:eastAsia="it-IT"/>
              </w:rPr>
            </w:pPr>
          </w:p>
        </w:tc>
        <w:tc>
          <w:tcPr>
            <w:tcW w:w="845" w:type="dxa"/>
            <w:tcBorders>
              <w:top w:val="nil"/>
              <w:left w:val="nil"/>
              <w:bottom w:val="nil"/>
              <w:right w:val="nil"/>
            </w:tcBorders>
            <w:shd w:val="clear" w:color="auto" w:fill="auto"/>
            <w:noWrap/>
            <w:vAlign w:val="bottom"/>
            <w:hideMark/>
          </w:tcPr>
          <w:p w14:paraId="4CC4762F" w14:textId="77777777" w:rsidR="00925EFB" w:rsidRPr="00530029" w:rsidRDefault="00925EFB" w:rsidP="00925EFB">
            <w:pPr>
              <w:spacing w:after="0" w:line="240" w:lineRule="auto"/>
              <w:rPr>
                <w:rFonts w:eastAsia="Times New Roman" w:cstheme="minorHAnsi"/>
                <w:sz w:val="18"/>
                <w:szCs w:val="18"/>
                <w:lang w:eastAsia="it-IT"/>
              </w:rPr>
            </w:pPr>
          </w:p>
        </w:tc>
        <w:tc>
          <w:tcPr>
            <w:tcW w:w="146" w:type="dxa"/>
            <w:tcBorders>
              <w:top w:val="nil"/>
              <w:left w:val="nil"/>
              <w:bottom w:val="nil"/>
              <w:right w:val="nil"/>
            </w:tcBorders>
            <w:shd w:val="clear" w:color="auto" w:fill="auto"/>
            <w:noWrap/>
            <w:vAlign w:val="bottom"/>
            <w:hideMark/>
          </w:tcPr>
          <w:p w14:paraId="27F6B521" w14:textId="77777777" w:rsidR="00925EFB" w:rsidRPr="00530029" w:rsidRDefault="00925EFB" w:rsidP="00925EFB">
            <w:pPr>
              <w:spacing w:after="0" w:line="240" w:lineRule="auto"/>
              <w:rPr>
                <w:rFonts w:eastAsia="Times New Roman" w:cstheme="minorHAnsi"/>
                <w:sz w:val="18"/>
                <w:szCs w:val="18"/>
                <w:lang w:eastAsia="it-IT"/>
              </w:rPr>
            </w:pPr>
          </w:p>
        </w:tc>
        <w:tc>
          <w:tcPr>
            <w:tcW w:w="694" w:type="dxa"/>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bottom"/>
            <w:hideMark/>
          </w:tcPr>
          <w:p w14:paraId="3E8F747A" w14:textId="77777777" w:rsidR="00925EFB" w:rsidRPr="00530029" w:rsidRDefault="00925EFB" w:rsidP="00CB2616">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Media</w:t>
            </w:r>
          </w:p>
        </w:tc>
        <w:tc>
          <w:tcPr>
            <w:tcW w:w="871" w:type="dxa"/>
            <w:tcBorders>
              <w:top w:val="single" w:sz="4" w:space="0" w:color="auto"/>
              <w:left w:val="nil"/>
              <w:bottom w:val="single" w:sz="4" w:space="0" w:color="auto"/>
              <w:right w:val="single" w:sz="4" w:space="0" w:color="auto"/>
            </w:tcBorders>
            <w:shd w:val="clear" w:color="auto" w:fill="DEEAF6" w:themeFill="accent5" w:themeFillTint="33"/>
            <w:noWrap/>
            <w:vAlign w:val="bottom"/>
            <w:hideMark/>
          </w:tcPr>
          <w:p w14:paraId="20743CB8" w14:textId="77777777" w:rsidR="00925EFB" w:rsidRPr="00530029" w:rsidRDefault="00925EFB" w:rsidP="00CB2616">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12,257 </w:t>
            </w:r>
          </w:p>
        </w:tc>
        <w:tc>
          <w:tcPr>
            <w:tcW w:w="191" w:type="dxa"/>
            <w:gridSpan w:val="2"/>
            <w:tcBorders>
              <w:top w:val="nil"/>
              <w:left w:val="nil"/>
              <w:bottom w:val="nil"/>
              <w:right w:val="nil"/>
            </w:tcBorders>
            <w:shd w:val="clear" w:color="auto" w:fill="auto"/>
            <w:noWrap/>
            <w:vAlign w:val="bottom"/>
            <w:hideMark/>
          </w:tcPr>
          <w:p w14:paraId="264A34DD" w14:textId="77777777" w:rsidR="00925EFB" w:rsidRPr="00530029" w:rsidRDefault="00925EFB" w:rsidP="00CB2616">
            <w:pPr>
              <w:spacing w:after="0" w:line="240" w:lineRule="auto"/>
              <w:jc w:val="right"/>
              <w:rPr>
                <w:rFonts w:eastAsia="Times New Roman" w:cstheme="minorHAnsi"/>
                <w:color w:val="000000"/>
                <w:sz w:val="18"/>
                <w:szCs w:val="18"/>
                <w:lang w:eastAsia="it-IT"/>
              </w:rPr>
            </w:pPr>
          </w:p>
        </w:tc>
        <w:tc>
          <w:tcPr>
            <w:tcW w:w="228" w:type="dxa"/>
            <w:tcBorders>
              <w:top w:val="nil"/>
              <w:left w:val="single" w:sz="4" w:space="0" w:color="auto"/>
              <w:bottom w:val="nil"/>
              <w:right w:val="nil"/>
            </w:tcBorders>
            <w:shd w:val="clear" w:color="auto" w:fill="auto"/>
            <w:noWrap/>
            <w:vAlign w:val="bottom"/>
            <w:hideMark/>
          </w:tcPr>
          <w:p w14:paraId="07DAC9D8" w14:textId="77777777" w:rsidR="00925EFB" w:rsidRPr="00530029" w:rsidRDefault="00925EFB" w:rsidP="00CB2616">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626"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bottom"/>
            <w:hideMark/>
          </w:tcPr>
          <w:p w14:paraId="6F7E28DA" w14:textId="77777777" w:rsidR="00925EFB" w:rsidRPr="00530029" w:rsidRDefault="00925EFB" w:rsidP="00CB2616">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Media</w:t>
            </w:r>
          </w:p>
        </w:tc>
        <w:tc>
          <w:tcPr>
            <w:tcW w:w="769" w:type="dxa"/>
            <w:gridSpan w:val="2"/>
            <w:tcBorders>
              <w:top w:val="single" w:sz="4" w:space="0" w:color="auto"/>
              <w:left w:val="nil"/>
              <w:bottom w:val="single" w:sz="4" w:space="0" w:color="auto"/>
              <w:right w:val="single" w:sz="4" w:space="0" w:color="auto"/>
            </w:tcBorders>
            <w:shd w:val="clear" w:color="auto" w:fill="DEEAF6" w:themeFill="accent5" w:themeFillTint="33"/>
            <w:noWrap/>
            <w:vAlign w:val="bottom"/>
            <w:hideMark/>
          </w:tcPr>
          <w:p w14:paraId="55F214AD" w14:textId="77777777" w:rsidR="00925EFB" w:rsidRPr="00530029" w:rsidRDefault="00925EFB" w:rsidP="00CB2616">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0,934 </w:t>
            </w:r>
          </w:p>
        </w:tc>
      </w:tr>
    </w:tbl>
    <w:p w14:paraId="60781206" w14:textId="1F1EE0C5" w:rsidR="00B3651C" w:rsidRPr="00DD130B" w:rsidRDefault="00B3651C" w:rsidP="005657B3">
      <w:pPr>
        <w:jc w:val="both"/>
        <w:rPr>
          <w:rFonts w:asciiTheme="majorHAnsi" w:hAnsiTheme="majorHAnsi" w:cstheme="majorHAnsi"/>
        </w:rPr>
      </w:pPr>
    </w:p>
    <w:p w14:paraId="1072478B" w14:textId="406B750C" w:rsidR="00A133DA" w:rsidRPr="00530029" w:rsidRDefault="00536E76" w:rsidP="000240B6">
      <w:pPr>
        <w:pStyle w:val="Paragrafoelenco"/>
        <w:numPr>
          <w:ilvl w:val="0"/>
          <w:numId w:val="25"/>
        </w:numPr>
        <w:spacing w:before="120" w:after="120" w:line="276" w:lineRule="auto"/>
        <w:ind w:left="709" w:hanging="425"/>
        <w:contextualSpacing w:val="0"/>
        <w:jc w:val="both"/>
        <w:rPr>
          <w:rFonts w:cstheme="minorHAnsi"/>
          <w:sz w:val="24"/>
          <w:szCs w:val="24"/>
        </w:rPr>
      </w:pPr>
      <w:r w:rsidRPr="00530029">
        <w:rPr>
          <w:rFonts w:cstheme="minorHAnsi"/>
          <w:sz w:val="24"/>
          <w:szCs w:val="24"/>
        </w:rPr>
        <w:t>calcolo del rapporto tra lo scarto medio aritmetico di cui alla lettera b) e la media aritmetica di cui alla lettera a)</w:t>
      </w:r>
      <w:r w:rsidR="00FD1497" w:rsidRPr="00530029">
        <w:rPr>
          <w:rFonts w:cstheme="minorHAnsi"/>
          <w:sz w:val="24"/>
          <w:szCs w:val="24"/>
        </w:rPr>
        <w:t xml:space="preserve"> (0,934</w:t>
      </w:r>
      <w:r w:rsidR="00D0783A" w:rsidRPr="00530029">
        <w:rPr>
          <w:rFonts w:cstheme="minorHAnsi"/>
          <w:sz w:val="24"/>
          <w:szCs w:val="24"/>
        </w:rPr>
        <w:t xml:space="preserve"> / 12,257</w:t>
      </w:r>
      <w:r w:rsidR="002223BB" w:rsidRPr="00530029">
        <w:rPr>
          <w:rFonts w:cstheme="minorHAnsi"/>
          <w:sz w:val="24"/>
          <w:szCs w:val="24"/>
        </w:rPr>
        <w:t xml:space="preserve"> = 0,076</w:t>
      </w:r>
      <w:r w:rsidR="00FD1497" w:rsidRPr="00530029">
        <w:rPr>
          <w:rFonts w:cstheme="minorHAnsi"/>
          <w:sz w:val="24"/>
          <w:szCs w:val="24"/>
        </w:rPr>
        <w:t>)</w:t>
      </w:r>
      <w:r w:rsidRPr="00530029">
        <w:rPr>
          <w:rFonts w:cstheme="minorHAnsi"/>
          <w:sz w:val="24"/>
          <w:szCs w:val="24"/>
        </w:rPr>
        <w:t>;</w:t>
      </w:r>
    </w:p>
    <w:p w14:paraId="10566413" w14:textId="68F6BDD6" w:rsidR="00A133DA" w:rsidRPr="00530029" w:rsidRDefault="00536E76" w:rsidP="000240B6">
      <w:pPr>
        <w:pStyle w:val="Paragrafoelenco"/>
        <w:numPr>
          <w:ilvl w:val="0"/>
          <w:numId w:val="25"/>
        </w:numPr>
        <w:spacing w:before="120" w:after="120" w:line="276" w:lineRule="auto"/>
        <w:ind w:left="709" w:hanging="425"/>
        <w:contextualSpacing w:val="0"/>
        <w:jc w:val="both"/>
        <w:rPr>
          <w:rFonts w:cstheme="minorHAnsi"/>
          <w:sz w:val="24"/>
          <w:szCs w:val="24"/>
        </w:rPr>
      </w:pPr>
      <w:r w:rsidRPr="00530029">
        <w:rPr>
          <w:rFonts w:cstheme="minorHAnsi"/>
          <w:sz w:val="24"/>
          <w:szCs w:val="24"/>
        </w:rPr>
        <w:lastRenderedPageBreak/>
        <w:t xml:space="preserve">se il rapporto di cui alla lettera c) </w:t>
      </w:r>
      <w:r w:rsidR="00A133DA" w:rsidRPr="00530029">
        <w:rPr>
          <w:rFonts w:cstheme="minorHAnsi"/>
          <w:sz w:val="24"/>
          <w:szCs w:val="24"/>
        </w:rPr>
        <w:t>è</w:t>
      </w:r>
      <w:r w:rsidRPr="00530029">
        <w:rPr>
          <w:rFonts w:cstheme="minorHAnsi"/>
          <w:sz w:val="24"/>
          <w:szCs w:val="24"/>
        </w:rPr>
        <w:t xml:space="preserve"> pari o inferiore a zero</w:t>
      </w:r>
      <w:r w:rsidR="00A133DA" w:rsidRPr="00530029">
        <w:rPr>
          <w:rFonts w:cstheme="minorHAnsi"/>
          <w:sz w:val="24"/>
          <w:szCs w:val="24"/>
        </w:rPr>
        <w:t xml:space="preserve"> </w:t>
      </w:r>
      <w:r w:rsidRPr="00530029">
        <w:rPr>
          <w:rFonts w:cstheme="minorHAnsi"/>
          <w:sz w:val="24"/>
          <w:szCs w:val="24"/>
        </w:rPr>
        <w:t xml:space="preserve">virgola quindici, la soglia di anomalia </w:t>
      </w:r>
      <w:r w:rsidR="00A133DA" w:rsidRPr="00530029">
        <w:rPr>
          <w:rFonts w:cstheme="minorHAnsi"/>
          <w:sz w:val="24"/>
          <w:szCs w:val="24"/>
        </w:rPr>
        <w:t>è</w:t>
      </w:r>
      <w:r w:rsidRPr="00530029">
        <w:rPr>
          <w:rFonts w:cstheme="minorHAnsi"/>
          <w:sz w:val="24"/>
          <w:szCs w:val="24"/>
        </w:rPr>
        <w:t xml:space="preserve"> pari al valore della media</w:t>
      </w:r>
      <w:r w:rsidR="00A133DA" w:rsidRPr="00530029">
        <w:rPr>
          <w:rFonts w:cstheme="minorHAnsi"/>
          <w:sz w:val="24"/>
          <w:szCs w:val="24"/>
        </w:rPr>
        <w:t xml:space="preserve"> </w:t>
      </w:r>
      <w:r w:rsidRPr="00530029">
        <w:rPr>
          <w:rFonts w:cstheme="minorHAnsi"/>
          <w:sz w:val="24"/>
          <w:szCs w:val="24"/>
        </w:rPr>
        <w:t>aritmetica di cui alla lettera a) incrementata del 20 per cento della</w:t>
      </w:r>
      <w:r w:rsidR="00A133DA" w:rsidRPr="00530029">
        <w:rPr>
          <w:rFonts w:cstheme="minorHAnsi"/>
          <w:sz w:val="24"/>
          <w:szCs w:val="24"/>
        </w:rPr>
        <w:t xml:space="preserve"> </w:t>
      </w:r>
      <w:r w:rsidRPr="00530029">
        <w:rPr>
          <w:rFonts w:cstheme="minorHAnsi"/>
          <w:sz w:val="24"/>
          <w:szCs w:val="24"/>
        </w:rPr>
        <w:t>medesima media aritmetica)</w:t>
      </w:r>
      <w:r w:rsidR="002E374A" w:rsidRPr="00530029">
        <w:rPr>
          <w:rFonts w:cstheme="minorHAnsi"/>
          <w:sz w:val="24"/>
          <w:szCs w:val="24"/>
        </w:rPr>
        <w:t xml:space="preserve">. </w:t>
      </w:r>
      <w:r w:rsidR="002223BB" w:rsidRPr="00530029">
        <w:rPr>
          <w:rFonts w:cstheme="minorHAnsi"/>
          <w:sz w:val="24"/>
          <w:szCs w:val="24"/>
        </w:rPr>
        <w:t>Poiché 0,076 è inferiore a 0,15</w:t>
      </w:r>
      <w:r w:rsidR="00B31561" w:rsidRPr="00530029">
        <w:rPr>
          <w:rFonts w:cstheme="minorHAnsi"/>
          <w:sz w:val="24"/>
          <w:szCs w:val="24"/>
        </w:rPr>
        <w:t xml:space="preserve"> la soglia sarà pari a 12,257 + (12,257 </w:t>
      </w:r>
      <w:r w:rsidR="006243BF" w:rsidRPr="00530029">
        <w:rPr>
          <w:rFonts w:cstheme="minorHAnsi"/>
          <w:sz w:val="24"/>
          <w:szCs w:val="24"/>
        </w:rPr>
        <w:t>x</w:t>
      </w:r>
      <w:r w:rsidR="00B31561" w:rsidRPr="00530029">
        <w:rPr>
          <w:rFonts w:cstheme="minorHAnsi"/>
          <w:sz w:val="24"/>
          <w:szCs w:val="24"/>
        </w:rPr>
        <w:t xml:space="preserve"> 20</w:t>
      </w:r>
      <w:r w:rsidR="006243BF" w:rsidRPr="00530029">
        <w:rPr>
          <w:rFonts w:cstheme="minorHAnsi"/>
          <w:sz w:val="24"/>
          <w:szCs w:val="24"/>
        </w:rPr>
        <w:t xml:space="preserve"> </w:t>
      </w:r>
      <w:r w:rsidR="00B31561" w:rsidRPr="00530029">
        <w:rPr>
          <w:rFonts w:cstheme="minorHAnsi"/>
          <w:sz w:val="24"/>
          <w:szCs w:val="24"/>
        </w:rPr>
        <w:t>/</w:t>
      </w:r>
      <w:r w:rsidR="006243BF" w:rsidRPr="00530029">
        <w:rPr>
          <w:rFonts w:cstheme="minorHAnsi"/>
          <w:sz w:val="24"/>
          <w:szCs w:val="24"/>
        </w:rPr>
        <w:t xml:space="preserve"> </w:t>
      </w:r>
      <w:r w:rsidR="00B31561" w:rsidRPr="00530029">
        <w:rPr>
          <w:rFonts w:cstheme="minorHAnsi"/>
          <w:sz w:val="24"/>
          <w:szCs w:val="24"/>
        </w:rPr>
        <w:t>100) = 14,708</w:t>
      </w:r>
      <w:r w:rsidR="004C2573" w:rsidRPr="00530029">
        <w:rPr>
          <w:rFonts w:cstheme="minorHAnsi"/>
          <w:sz w:val="24"/>
          <w:szCs w:val="24"/>
        </w:rPr>
        <w:t>.</w:t>
      </w:r>
    </w:p>
    <w:p w14:paraId="25C49E32" w14:textId="7F3947AE" w:rsidR="00536E76" w:rsidRPr="00530029" w:rsidRDefault="004C2573" w:rsidP="00530029">
      <w:pPr>
        <w:pStyle w:val="Paragrafoelenco"/>
        <w:pBdr>
          <w:top w:val="single" w:sz="4" w:space="1" w:color="auto"/>
          <w:left w:val="single" w:sz="4" w:space="4" w:color="auto"/>
          <w:bottom w:val="single" w:sz="4" w:space="1" w:color="auto"/>
          <w:right w:val="single" w:sz="4" w:space="4" w:color="auto"/>
        </w:pBdr>
        <w:spacing w:before="120" w:after="120" w:line="276" w:lineRule="auto"/>
        <w:contextualSpacing w:val="0"/>
        <w:jc w:val="both"/>
        <w:rPr>
          <w:rFonts w:cstheme="minorHAnsi"/>
          <w:sz w:val="24"/>
          <w:szCs w:val="24"/>
        </w:rPr>
      </w:pPr>
      <w:r w:rsidRPr="00530029">
        <w:rPr>
          <w:rFonts w:cstheme="minorHAnsi"/>
          <w:sz w:val="24"/>
          <w:szCs w:val="24"/>
        </w:rPr>
        <w:t>Qualora</w:t>
      </w:r>
      <w:r w:rsidR="00536E76" w:rsidRPr="00530029">
        <w:rPr>
          <w:rFonts w:cstheme="minorHAnsi"/>
          <w:sz w:val="24"/>
          <w:szCs w:val="24"/>
        </w:rPr>
        <w:t xml:space="preserve"> il rapporto di cui alla lettera c) </w:t>
      </w:r>
      <w:r w:rsidRPr="00530029">
        <w:rPr>
          <w:rFonts w:cstheme="minorHAnsi"/>
          <w:sz w:val="24"/>
          <w:szCs w:val="24"/>
        </w:rPr>
        <w:t>sia</w:t>
      </w:r>
      <w:r w:rsidR="00536E76" w:rsidRPr="00530029">
        <w:rPr>
          <w:rFonts w:cstheme="minorHAnsi"/>
          <w:sz w:val="24"/>
          <w:szCs w:val="24"/>
        </w:rPr>
        <w:t xml:space="preserve"> superiore a zero virgola</w:t>
      </w:r>
      <w:r w:rsidR="00A133DA" w:rsidRPr="00530029">
        <w:rPr>
          <w:rFonts w:cstheme="minorHAnsi"/>
          <w:sz w:val="24"/>
          <w:szCs w:val="24"/>
        </w:rPr>
        <w:t xml:space="preserve"> </w:t>
      </w:r>
      <w:r w:rsidR="00536E76" w:rsidRPr="00530029">
        <w:rPr>
          <w:rFonts w:cstheme="minorHAnsi"/>
          <w:sz w:val="24"/>
          <w:szCs w:val="24"/>
        </w:rPr>
        <w:t xml:space="preserve">quindici, la soglia di anomalia </w:t>
      </w:r>
      <w:r w:rsidR="00A133DA" w:rsidRPr="00530029">
        <w:rPr>
          <w:rFonts w:cstheme="minorHAnsi"/>
          <w:sz w:val="24"/>
          <w:szCs w:val="24"/>
        </w:rPr>
        <w:t>è</w:t>
      </w:r>
      <w:r w:rsidR="00536E76" w:rsidRPr="00530029">
        <w:rPr>
          <w:rFonts w:cstheme="minorHAnsi"/>
          <w:sz w:val="24"/>
          <w:szCs w:val="24"/>
        </w:rPr>
        <w:t xml:space="preserve"> calcolata come somma della media</w:t>
      </w:r>
      <w:r w:rsidR="00A133DA" w:rsidRPr="00530029">
        <w:rPr>
          <w:rFonts w:cstheme="minorHAnsi"/>
          <w:sz w:val="24"/>
          <w:szCs w:val="24"/>
        </w:rPr>
        <w:t xml:space="preserve"> </w:t>
      </w:r>
      <w:r w:rsidR="00536E76" w:rsidRPr="00530029">
        <w:rPr>
          <w:rFonts w:cstheme="minorHAnsi"/>
          <w:sz w:val="24"/>
          <w:szCs w:val="24"/>
        </w:rPr>
        <w:t>aritmetica di cui alla lettera a) e dello scarto medio aritmetico di</w:t>
      </w:r>
      <w:r w:rsidR="00A133DA" w:rsidRPr="00530029">
        <w:rPr>
          <w:rFonts w:cstheme="minorHAnsi"/>
          <w:sz w:val="24"/>
          <w:szCs w:val="24"/>
        </w:rPr>
        <w:t xml:space="preserve"> </w:t>
      </w:r>
      <w:r w:rsidR="00536E76" w:rsidRPr="00530029">
        <w:rPr>
          <w:rFonts w:cstheme="minorHAnsi"/>
          <w:sz w:val="24"/>
          <w:szCs w:val="24"/>
        </w:rPr>
        <w:t>cui alla lettera b).</w:t>
      </w:r>
    </w:p>
    <w:p w14:paraId="5DD38DDC" w14:textId="08B63815" w:rsidR="004467AE" w:rsidRPr="00530029" w:rsidRDefault="00536E76" w:rsidP="000240B6">
      <w:pPr>
        <w:spacing w:before="120" w:after="120" w:line="276" w:lineRule="auto"/>
        <w:ind w:left="284"/>
        <w:jc w:val="both"/>
        <w:rPr>
          <w:rFonts w:cstheme="minorHAnsi"/>
          <w:sz w:val="24"/>
          <w:szCs w:val="24"/>
        </w:rPr>
      </w:pPr>
      <w:r w:rsidRPr="00530029">
        <w:rPr>
          <w:rFonts w:cstheme="minorHAnsi"/>
          <w:sz w:val="24"/>
          <w:szCs w:val="24"/>
        </w:rPr>
        <w:t>Tutti gli sconti superiori alla soglia di</w:t>
      </w:r>
      <w:r w:rsidR="00CD141C" w:rsidRPr="00530029">
        <w:rPr>
          <w:rFonts w:cstheme="minorHAnsi"/>
          <w:sz w:val="24"/>
          <w:szCs w:val="24"/>
        </w:rPr>
        <w:t xml:space="preserve"> </w:t>
      </w:r>
      <w:r w:rsidRPr="00530029">
        <w:rPr>
          <w:rFonts w:cstheme="minorHAnsi"/>
          <w:sz w:val="24"/>
          <w:szCs w:val="24"/>
        </w:rPr>
        <w:t>anomalia</w:t>
      </w:r>
      <w:r w:rsidR="00CD141C" w:rsidRPr="00530029">
        <w:rPr>
          <w:rFonts w:cstheme="minorHAnsi"/>
          <w:sz w:val="24"/>
          <w:szCs w:val="24"/>
        </w:rPr>
        <w:t xml:space="preserve"> </w:t>
      </w:r>
      <w:r w:rsidRPr="00530029">
        <w:rPr>
          <w:rFonts w:cstheme="minorHAnsi"/>
          <w:sz w:val="24"/>
          <w:szCs w:val="24"/>
        </w:rPr>
        <w:t>sono</w:t>
      </w:r>
      <w:r w:rsidR="00CD141C" w:rsidRPr="00530029">
        <w:rPr>
          <w:rFonts w:cstheme="minorHAnsi"/>
          <w:sz w:val="24"/>
          <w:szCs w:val="24"/>
        </w:rPr>
        <w:t xml:space="preserve"> </w:t>
      </w:r>
      <w:r w:rsidRPr="00530029">
        <w:rPr>
          <w:rFonts w:cstheme="minorHAnsi"/>
          <w:sz w:val="24"/>
          <w:szCs w:val="24"/>
        </w:rPr>
        <w:t xml:space="preserve">automaticamente esclusi. Tra le offerte non escluse, la </w:t>
      </w:r>
      <w:r w:rsidR="00F656C0">
        <w:rPr>
          <w:rFonts w:cstheme="minorHAnsi"/>
          <w:sz w:val="24"/>
          <w:szCs w:val="24"/>
        </w:rPr>
        <w:t>S</w:t>
      </w:r>
      <w:r w:rsidR="00F656C0" w:rsidRPr="00530029">
        <w:rPr>
          <w:rFonts w:cstheme="minorHAnsi"/>
          <w:sz w:val="24"/>
          <w:szCs w:val="24"/>
        </w:rPr>
        <w:t xml:space="preserve">tazione </w:t>
      </w:r>
      <w:r w:rsidR="00F656C0">
        <w:rPr>
          <w:rFonts w:cstheme="minorHAnsi"/>
          <w:sz w:val="24"/>
          <w:szCs w:val="24"/>
        </w:rPr>
        <w:t>A</w:t>
      </w:r>
      <w:r w:rsidR="00F656C0" w:rsidRPr="00530029">
        <w:rPr>
          <w:rFonts w:cstheme="minorHAnsi"/>
          <w:sz w:val="24"/>
          <w:szCs w:val="24"/>
        </w:rPr>
        <w:t xml:space="preserve">ppaltante </w:t>
      </w:r>
      <w:r w:rsidRPr="00530029">
        <w:rPr>
          <w:rFonts w:cstheme="minorHAnsi"/>
          <w:sz w:val="24"/>
          <w:szCs w:val="24"/>
        </w:rPr>
        <w:t>individua come vincitrice quella con lo sconto maggiore.</w:t>
      </w:r>
      <w:r w:rsidR="00CD141C" w:rsidRPr="00530029">
        <w:rPr>
          <w:rFonts w:cstheme="minorHAnsi"/>
          <w:sz w:val="24"/>
          <w:szCs w:val="24"/>
        </w:rPr>
        <w:t xml:space="preserve"> </w:t>
      </w:r>
      <w:r w:rsidRPr="00530029">
        <w:rPr>
          <w:rFonts w:cstheme="minorHAnsi"/>
          <w:sz w:val="24"/>
          <w:szCs w:val="24"/>
        </w:rPr>
        <w:t xml:space="preserve">Lo sconto di aggiudicazione corrisposto all'impresa aggiudicataria </w:t>
      </w:r>
      <w:r w:rsidR="00CD141C" w:rsidRPr="00530029">
        <w:rPr>
          <w:rFonts w:cstheme="minorHAnsi"/>
          <w:sz w:val="24"/>
          <w:szCs w:val="24"/>
        </w:rPr>
        <w:t xml:space="preserve">è </w:t>
      </w:r>
      <w:r w:rsidRPr="00530029">
        <w:rPr>
          <w:rFonts w:cstheme="minorHAnsi"/>
          <w:sz w:val="24"/>
          <w:szCs w:val="24"/>
        </w:rPr>
        <w:t>quello che questa stessa impresa ha presentato. In caso di pareggio</w:t>
      </w:r>
      <w:r w:rsidR="00CD141C" w:rsidRPr="00530029">
        <w:rPr>
          <w:rFonts w:cstheme="minorHAnsi"/>
          <w:sz w:val="24"/>
          <w:szCs w:val="24"/>
        </w:rPr>
        <w:t xml:space="preserve"> </w:t>
      </w:r>
      <w:r w:rsidRPr="00530029">
        <w:rPr>
          <w:rFonts w:cstheme="minorHAnsi"/>
          <w:sz w:val="24"/>
          <w:szCs w:val="24"/>
        </w:rPr>
        <w:t xml:space="preserve">tra le offerte di maggior ribasso, il vincitore </w:t>
      </w:r>
      <w:r w:rsidR="00CD141C" w:rsidRPr="00530029">
        <w:rPr>
          <w:rFonts w:cstheme="minorHAnsi"/>
          <w:sz w:val="24"/>
          <w:szCs w:val="24"/>
        </w:rPr>
        <w:t>è</w:t>
      </w:r>
      <w:r w:rsidRPr="00530029">
        <w:rPr>
          <w:rFonts w:cstheme="minorHAnsi"/>
          <w:sz w:val="24"/>
          <w:szCs w:val="24"/>
        </w:rPr>
        <w:t xml:space="preserve"> deciso con un</w:t>
      </w:r>
      <w:r w:rsidR="00CD141C" w:rsidRPr="00530029">
        <w:rPr>
          <w:rFonts w:cstheme="minorHAnsi"/>
          <w:sz w:val="24"/>
          <w:szCs w:val="24"/>
        </w:rPr>
        <w:t xml:space="preserve"> </w:t>
      </w:r>
      <w:r w:rsidRPr="00530029">
        <w:rPr>
          <w:rFonts w:cstheme="minorHAnsi"/>
          <w:sz w:val="24"/>
          <w:szCs w:val="24"/>
        </w:rPr>
        <w:t>sorteggio.</w:t>
      </w:r>
    </w:p>
    <w:p w14:paraId="25B7A956" w14:textId="30BD00C7" w:rsidR="001664C2" w:rsidRPr="00530029" w:rsidRDefault="001C4D7A" w:rsidP="000240B6">
      <w:pPr>
        <w:pStyle w:val="Paragrafoelenco"/>
        <w:numPr>
          <w:ilvl w:val="0"/>
          <w:numId w:val="24"/>
        </w:numPr>
        <w:spacing w:before="120" w:after="120" w:line="276" w:lineRule="auto"/>
        <w:ind w:left="284" w:hanging="284"/>
        <w:jc w:val="both"/>
        <w:rPr>
          <w:rFonts w:cstheme="minorHAnsi"/>
          <w:b/>
          <w:bCs/>
          <w:sz w:val="24"/>
          <w:szCs w:val="24"/>
          <w:u w:val="single"/>
        </w:rPr>
      </w:pPr>
      <w:r w:rsidRPr="00530029">
        <w:rPr>
          <w:rFonts w:cstheme="minorHAnsi"/>
          <w:b/>
          <w:bCs/>
          <w:sz w:val="24"/>
          <w:szCs w:val="24"/>
          <w:u w:val="single"/>
        </w:rPr>
        <w:t>METODO B</w:t>
      </w:r>
    </w:p>
    <w:p w14:paraId="140E53B0" w14:textId="0C5EA39E" w:rsidR="00747929" w:rsidRPr="00530029" w:rsidRDefault="00F20498" w:rsidP="000240B6">
      <w:pPr>
        <w:spacing w:before="120" w:after="120" w:line="276" w:lineRule="auto"/>
        <w:ind w:left="284"/>
        <w:jc w:val="both"/>
        <w:rPr>
          <w:rFonts w:cstheme="minorHAnsi"/>
          <w:sz w:val="24"/>
          <w:szCs w:val="24"/>
        </w:rPr>
      </w:pPr>
      <w:r w:rsidRPr="00530029">
        <w:rPr>
          <w:rFonts w:cstheme="minorHAnsi"/>
          <w:sz w:val="24"/>
          <w:szCs w:val="24"/>
        </w:rPr>
        <w:t>Si procede con l’illustrare le modalità di calcolo di cui al METODO B</w:t>
      </w:r>
      <w:r w:rsidR="00747929" w:rsidRPr="00530029">
        <w:rPr>
          <w:rFonts w:cstheme="minorHAnsi"/>
          <w:sz w:val="24"/>
          <w:szCs w:val="24"/>
        </w:rPr>
        <w:t xml:space="preserve">; tale metodo </w:t>
      </w:r>
      <w:r w:rsidR="005D66AF" w:rsidRPr="00530029">
        <w:rPr>
          <w:rFonts w:cstheme="minorHAnsi"/>
          <w:b/>
          <w:bCs/>
          <w:sz w:val="24"/>
          <w:szCs w:val="24"/>
        </w:rPr>
        <w:t xml:space="preserve">non opera una distinzione </w:t>
      </w:r>
      <w:r w:rsidR="00E74C84" w:rsidRPr="00530029">
        <w:rPr>
          <w:rFonts w:cstheme="minorHAnsi"/>
          <w:b/>
          <w:bCs/>
          <w:sz w:val="24"/>
          <w:szCs w:val="24"/>
        </w:rPr>
        <w:t>in funzione del</w:t>
      </w:r>
      <w:r w:rsidR="005D66AF" w:rsidRPr="00530029">
        <w:rPr>
          <w:rFonts w:cstheme="minorHAnsi"/>
          <w:b/>
          <w:bCs/>
          <w:sz w:val="24"/>
          <w:szCs w:val="24"/>
        </w:rPr>
        <w:t xml:space="preserve"> numero di</w:t>
      </w:r>
      <w:r w:rsidR="00E74C84" w:rsidRPr="00530029">
        <w:rPr>
          <w:rFonts w:cstheme="minorHAnsi"/>
          <w:b/>
          <w:bCs/>
          <w:sz w:val="24"/>
          <w:szCs w:val="24"/>
        </w:rPr>
        <w:t xml:space="preserve"> offerte ammesse</w:t>
      </w:r>
      <w:r w:rsidR="00B503DB" w:rsidRPr="00530029">
        <w:rPr>
          <w:rFonts w:cstheme="minorHAnsi"/>
          <w:sz w:val="24"/>
          <w:szCs w:val="24"/>
        </w:rPr>
        <w:t xml:space="preserve">. Si prenda ad esempio </w:t>
      </w:r>
      <w:r w:rsidR="008732A8" w:rsidRPr="00530029">
        <w:rPr>
          <w:rFonts w:cstheme="minorHAnsi"/>
          <w:sz w:val="24"/>
          <w:szCs w:val="24"/>
        </w:rPr>
        <w:t xml:space="preserve">la distribuzione dei ribassi </w:t>
      </w:r>
      <w:r w:rsidR="009F0E61" w:rsidRPr="00530029">
        <w:rPr>
          <w:rFonts w:cstheme="minorHAnsi"/>
          <w:sz w:val="24"/>
          <w:szCs w:val="24"/>
        </w:rPr>
        <w:t xml:space="preserve">di cui </w:t>
      </w:r>
      <w:r w:rsidR="001F39DF" w:rsidRPr="00530029">
        <w:rPr>
          <w:rFonts w:cstheme="minorHAnsi"/>
          <w:sz w:val="24"/>
          <w:szCs w:val="24"/>
        </w:rPr>
        <w:t>alla Tabella 1</w:t>
      </w:r>
      <w:r w:rsidR="009F0E61" w:rsidRPr="00530029">
        <w:rPr>
          <w:rFonts w:cstheme="minorHAnsi"/>
          <w:sz w:val="24"/>
          <w:szCs w:val="24"/>
        </w:rPr>
        <w:t>.</w:t>
      </w:r>
    </w:p>
    <w:p w14:paraId="40DBE910" w14:textId="51922FFB" w:rsidR="004735F4" w:rsidRPr="00530029" w:rsidRDefault="00C12726" w:rsidP="000240B6">
      <w:pPr>
        <w:pStyle w:val="Paragrafoelenco"/>
        <w:numPr>
          <w:ilvl w:val="0"/>
          <w:numId w:val="26"/>
        </w:numPr>
        <w:spacing w:before="120" w:after="120" w:line="276" w:lineRule="auto"/>
        <w:ind w:left="709" w:hanging="425"/>
        <w:contextualSpacing w:val="0"/>
        <w:jc w:val="both"/>
        <w:rPr>
          <w:rFonts w:cstheme="minorHAnsi"/>
          <w:sz w:val="24"/>
          <w:szCs w:val="24"/>
        </w:rPr>
      </w:pPr>
      <w:r w:rsidRPr="00530029">
        <w:rPr>
          <w:rFonts w:cstheme="minorHAnsi"/>
          <w:sz w:val="24"/>
          <w:szCs w:val="24"/>
        </w:rPr>
        <w:t>Calcolo della somma e della media aritmetica dei ribassi percentuali di tutte le offerte ammesse, con esclusione del 10 %, arrotondato all'unità superiore, rispettivamente delle offerte di maggior ribasso e quelle di minor ribasso; le offerte aventi un uguale valore di ribasso sono prese in considerazione distintamente nei loro singoli valori. Qualora, nell’effettuare il calcolo del 10 %, siano presenti una o più offerte di eguale valore rispetto alle offerte da accantonare, dette offerte sono altresì da accantonare;</w:t>
      </w:r>
    </w:p>
    <w:p w14:paraId="2503594F" w14:textId="70478C6B" w:rsidR="004735F4" w:rsidRPr="000240B6" w:rsidRDefault="00C12726" w:rsidP="000240B6">
      <w:pPr>
        <w:pStyle w:val="Paragrafoelenco"/>
        <w:numPr>
          <w:ilvl w:val="0"/>
          <w:numId w:val="26"/>
        </w:numPr>
        <w:spacing w:before="120" w:after="120" w:line="276" w:lineRule="auto"/>
        <w:ind w:left="709" w:hanging="425"/>
        <w:contextualSpacing w:val="0"/>
        <w:jc w:val="both"/>
        <w:rPr>
          <w:rFonts w:cstheme="minorHAnsi"/>
          <w:sz w:val="24"/>
          <w:szCs w:val="24"/>
        </w:rPr>
      </w:pPr>
      <w:r w:rsidRPr="000240B6">
        <w:rPr>
          <w:rFonts w:cstheme="minorHAnsi"/>
          <w:sz w:val="24"/>
          <w:szCs w:val="24"/>
        </w:rPr>
        <w:t>calcolo dello scarto medio aritmetico dei ribassi percentuali che superano la media calcolata ai sensi della lettera a), esclusi quelli accantonati di cui alla lettera a);</w:t>
      </w:r>
    </w:p>
    <w:p w14:paraId="368E8EEE" w14:textId="03E2D5B8" w:rsidR="004735F4" w:rsidRPr="000240B6" w:rsidRDefault="007A7392" w:rsidP="000240B6">
      <w:pPr>
        <w:pStyle w:val="Paragrafoelenco"/>
        <w:numPr>
          <w:ilvl w:val="0"/>
          <w:numId w:val="26"/>
        </w:numPr>
        <w:spacing w:before="120" w:after="120" w:line="276" w:lineRule="auto"/>
        <w:ind w:left="709" w:hanging="425"/>
        <w:contextualSpacing w:val="0"/>
        <w:jc w:val="both"/>
        <w:rPr>
          <w:rFonts w:cstheme="minorHAnsi"/>
          <w:sz w:val="24"/>
          <w:szCs w:val="24"/>
        </w:rPr>
      </w:pPr>
      <w:r w:rsidRPr="000240B6">
        <w:rPr>
          <w:rFonts w:cstheme="minorHAnsi"/>
          <w:sz w:val="24"/>
          <w:szCs w:val="24"/>
        </w:rPr>
        <w:t>calcolo della soglia come somma della media aritmetica e dello scarto medio aritmetico dei ribassi di cui alla lettera b) (14,392 + 1,369 = 15,761);</w:t>
      </w:r>
    </w:p>
    <w:p w14:paraId="05A2DE3A" w14:textId="1B888A77" w:rsidR="009258A0" w:rsidRPr="000240B6" w:rsidRDefault="009258A0" w:rsidP="000240B6">
      <w:pPr>
        <w:pStyle w:val="Paragrafoelenco"/>
        <w:numPr>
          <w:ilvl w:val="0"/>
          <w:numId w:val="26"/>
        </w:numPr>
        <w:spacing w:before="120" w:after="120" w:line="276" w:lineRule="auto"/>
        <w:ind w:left="709" w:hanging="425"/>
        <w:contextualSpacing w:val="0"/>
        <w:jc w:val="both"/>
        <w:rPr>
          <w:rFonts w:cstheme="minorHAnsi"/>
          <w:sz w:val="24"/>
          <w:szCs w:val="24"/>
        </w:rPr>
      </w:pPr>
      <w:r w:rsidRPr="000240B6">
        <w:rPr>
          <w:rFonts w:cstheme="minorHAnsi"/>
          <w:sz w:val="24"/>
          <w:szCs w:val="24"/>
        </w:rPr>
        <w:t>calcolo di un valore percentuale pari al prodotto delle prime due</w:t>
      </w:r>
      <w:r w:rsidR="006F6F86" w:rsidRPr="000240B6">
        <w:rPr>
          <w:rFonts w:cstheme="minorHAnsi"/>
          <w:sz w:val="24"/>
          <w:szCs w:val="24"/>
        </w:rPr>
        <w:t xml:space="preserve"> </w:t>
      </w:r>
      <w:r w:rsidRPr="000240B6">
        <w:rPr>
          <w:rFonts w:cstheme="minorHAnsi"/>
          <w:sz w:val="24"/>
          <w:szCs w:val="24"/>
        </w:rPr>
        <w:t>cifre dopo la virgola della somma dei ribassi di cui alla lettera a)</w:t>
      </w:r>
      <w:r w:rsidR="006F6F86" w:rsidRPr="000240B6">
        <w:rPr>
          <w:rFonts w:cstheme="minorHAnsi"/>
          <w:sz w:val="24"/>
          <w:szCs w:val="24"/>
        </w:rPr>
        <w:t xml:space="preserve"> </w:t>
      </w:r>
      <w:r w:rsidRPr="000240B6">
        <w:rPr>
          <w:rFonts w:cstheme="minorHAnsi"/>
          <w:sz w:val="24"/>
          <w:szCs w:val="24"/>
        </w:rPr>
        <w:t>applicato allo scarto medio aritmetico di cui alla lettera b)</w:t>
      </w:r>
      <w:r w:rsidR="00681E76" w:rsidRPr="000240B6">
        <w:rPr>
          <w:rFonts w:cstheme="minorHAnsi"/>
          <w:sz w:val="24"/>
          <w:szCs w:val="24"/>
        </w:rPr>
        <w:t>.</w:t>
      </w:r>
    </w:p>
    <w:p w14:paraId="7807EA93" w14:textId="0943C519" w:rsidR="00361A7C" w:rsidRPr="00530029" w:rsidRDefault="00681E76" w:rsidP="000240B6">
      <w:pPr>
        <w:spacing w:before="120" w:after="120" w:line="276" w:lineRule="auto"/>
        <w:ind w:left="284"/>
        <w:jc w:val="both"/>
        <w:rPr>
          <w:rFonts w:cstheme="minorHAnsi"/>
          <w:sz w:val="24"/>
          <w:szCs w:val="24"/>
        </w:rPr>
      </w:pPr>
      <w:r w:rsidRPr="00530029">
        <w:rPr>
          <w:rFonts w:cstheme="minorHAnsi"/>
          <w:sz w:val="24"/>
          <w:szCs w:val="24"/>
        </w:rPr>
        <w:t>Le prime due cifre dopo la virgola della somma dei ribassi 215,882 sono 8 e 8, il cui prodotto è pari a 64 (8 x 8); si procede, quindi, ad applicare tale valore percentuale (64 %) allo scarto 1,369</w:t>
      </w:r>
      <w:r w:rsidR="0012147F" w:rsidRPr="00530029">
        <w:rPr>
          <w:rFonts w:cstheme="minorHAnsi"/>
          <w:sz w:val="24"/>
          <w:szCs w:val="24"/>
        </w:rPr>
        <w:t xml:space="preserve">: </w:t>
      </w:r>
      <w:r w:rsidRPr="00530029">
        <w:rPr>
          <w:rFonts w:cstheme="minorHAnsi"/>
          <w:sz w:val="24"/>
          <w:szCs w:val="24"/>
        </w:rPr>
        <w:t xml:space="preserve">il </w:t>
      </w:r>
      <w:r w:rsidRPr="000240B6">
        <w:rPr>
          <w:rFonts w:cstheme="minorHAnsi"/>
          <w:b/>
          <w:bCs/>
          <w:sz w:val="24"/>
          <w:szCs w:val="24"/>
          <w:u w:val="single"/>
        </w:rPr>
        <w:t>risultato</w:t>
      </w:r>
      <w:r w:rsidRPr="00530029">
        <w:rPr>
          <w:rFonts w:cstheme="minorHAnsi"/>
          <w:sz w:val="24"/>
          <w:szCs w:val="24"/>
        </w:rPr>
        <w:t xml:space="preserve"> è 0,876 (1,369 x 64 / 100)</w:t>
      </w:r>
      <w:r w:rsidR="001B1277" w:rsidRPr="00530029">
        <w:rPr>
          <w:rFonts w:cstheme="minorHAnsi"/>
          <w:sz w:val="24"/>
          <w:szCs w:val="24"/>
        </w:rPr>
        <w:t>;</w:t>
      </w:r>
    </w:p>
    <w:p w14:paraId="36852FF2" w14:textId="77777777" w:rsidR="004A1D97" w:rsidRPr="00530029" w:rsidRDefault="009258A0" w:rsidP="000240B6">
      <w:pPr>
        <w:pStyle w:val="Paragrafoelenco"/>
        <w:numPr>
          <w:ilvl w:val="0"/>
          <w:numId w:val="27"/>
        </w:numPr>
        <w:spacing w:before="120" w:after="120" w:line="276" w:lineRule="auto"/>
        <w:ind w:left="709" w:hanging="425"/>
        <w:contextualSpacing w:val="0"/>
        <w:jc w:val="both"/>
        <w:rPr>
          <w:rFonts w:cstheme="minorHAnsi"/>
          <w:sz w:val="24"/>
          <w:szCs w:val="24"/>
        </w:rPr>
      </w:pPr>
      <w:r w:rsidRPr="00530029">
        <w:rPr>
          <w:rFonts w:cstheme="minorHAnsi"/>
          <w:sz w:val="24"/>
          <w:szCs w:val="24"/>
        </w:rPr>
        <w:t>calcolo della somma di tutte le cifre, sia prima che dopo la</w:t>
      </w:r>
      <w:r w:rsidR="007C1A37" w:rsidRPr="00530029">
        <w:rPr>
          <w:rFonts w:cstheme="minorHAnsi"/>
          <w:sz w:val="24"/>
          <w:szCs w:val="24"/>
        </w:rPr>
        <w:t xml:space="preserve"> </w:t>
      </w:r>
      <w:r w:rsidRPr="00530029">
        <w:rPr>
          <w:rFonts w:cstheme="minorHAnsi"/>
          <w:sz w:val="24"/>
          <w:szCs w:val="24"/>
        </w:rPr>
        <w:t>virgola fino al secondo decimale, della somma dei ribassi di cui alla</w:t>
      </w:r>
      <w:r w:rsidR="007C1A37" w:rsidRPr="00530029">
        <w:rPr>
          <w:rFonts w:cstheme="minorHAnsi"/>
          <w:sz w:val="24"/>
          <w:szCs w:val="24"/>
        </w:rPr>
        <w:t xml:space="preserve"> </w:t>
      </w:r>
      <w:r w:rsidRPr="00530029">
        <w:rPr>
          <w:rFonts w:cstheme="minorHAnsi"/>
          <w:sz w:val="24"/>
          <w:szCs w:val="24"/>
        </w:rPr>
        <w:t>lettera a)</w:t>
      </w:r>
      <w:r w:rsidR="001E73DC" w:rsidRPr="00530029">
        <w:rPr>
          <w:rFonts w:cstheme="minorHAnsi"/>
          <w:sz w:val="24"/>
          <w:szCs w:val="24"/>
        </w:rPr>
        <w:t xml:space="preserve"> (</w:t>
      </w:r>
      <w:r w:rsidR="001B1277" w:rsidRPr="00530029">
        <w:rPr>
          <w:rFonts w:cstheme="minorHAnsi"/>
          <w:sz w:val="24"/>
          <w:szCs w:val="24"/>
        </w:rPr>
        <w:t>2</w:t>
      </w:r>
      <w:r w:rsidR="00CF212D" w:rsidRPr="00530029">
        <w:rPr>
          <w:rFonts w:cstheme="minorHAnsi"/>
          <w:sz w:val="24"/>
          <w:szCs w:val="24"/>
        </w:rPr>
        <w:t xml:space="preserve"> </w:t>
      </w:r>
      <w:r w:rsidR="001B1277" w:rsidRPr="00530029">
        <w:rPr>
          <w:rFonts w:cstheme="minorHAnsi"/>
          <w:sz w:val="24"/>
          <w:szCs w:val="24"/>
        </w:rPr>
        <w:t>+</w:t>
      </w:r>
      <w:r w:rsidR="00CF212D" w:rsidRPr="00530029">
        <w:rPr>
          <w:rFonts w:cstheme="minorHAnsi"/>
          <w:sz w:val="24"/>
          <w:szCs w:val="24"/>
        </w:rPr>
        <w:t xml:space="preserve"> </w:t>
      </w:r>
      <w:r w:rsidR="001B1277" w:rsidRPr="00530029">
        <w:rPr>
          <w:rFonts w:cstheme="minorHAnsi"/>
          <w:sz w:val="24"/>
          <w:szCs w:val="24"/>
        </w:rPr>
        <w:t>1</w:t>
      </w:r>
      <w:r w:rsidR="00CF212D" w:rsidRPr="00530029">
        <w:rPr>
          <w:rFonts w:cstheme="minorHAnsi"/>
          <w:sz w:val="24"/>
          <w:szCs w:val="24"/>
        </w:rPr>
        <w:t xml:space="preserve"> </w:t>
      </w:r>
      <w:r w:rsidR="001B1277" w:rsidRPr="00530029">
        <w:rPr>
          <w:rFonts w:cstheme="minorHAnsi"/>
          <w:sz w:val="24"/>
          <w:szCs w:val="24"/>
        </w:rPr>
        <w:t>+</w:t>
      </w:r>
      <w:r w:rsidR="00CF212D" w:rsidRPr="00530029">
        <w:rPr>
          <w:rFonts w:cstheme="minorHAnsi"/>
          <w:sz w:val="24"/>
          <w:szCs w:val="24"/>
        </w:rPr>
        <w:t xml:space="preserve"> </w:t>
      </w:r>
      <w:r w:rsidR="001B1277" w:rsidRPr="00530029">
        <w:rPr>
          <w:rFonts w:cstheme="minorHAnsi"/>
          <w:sz w:val="24"/>
          <w:szCs w:val="24"/>
        </w:rPr>
        <w:t>5</w:t>
      </w:r>
      <w:r w:rsidR="00CF212D" w:rsidRPr="00530029">
        <w:rPr>
          <w:rFonts w:cstheme="minorHAnsi"/>
          <w:sz w:val="24"/>
          <w:szCs w:val="24"/>
        </w:rPr>
        <w:t xml:space="preserve"> </w:t>
      </w:r>
      <w:r w:rsidR="001B1277" w:rsidRPr="00530029">
        <w:rPr>
          <w:rFonts w:cstheme="minorHAnsi"/>
          <w:sz w:val="24"/>
          <w:szCs w:val="24"/>
        </w:rPr>
        <w:t>+</w:t>
      </w:r>
      <w:r w:rsidR="00CF212D" w:rsidRPr="00530029">
        <w:rPr>
          <w:rFonts w:cstheme="minorHAnsi"/>
          <w:sz w:val="24"/>
          <w:szCs w:val="24"/>
        </w:rPr>
        <w:t xml:space="preserve"> </w:t>
      </w:r>
      <w:r w:rsidR="001B1277" w:rsidRPr="00530029">
        <w:rPr>
          <w:rFonts w:cstheme="minorHAnsi"/>
          <w:sz w:val="24"/>
          <w:szCs w:val="24"/>
        </w:rPr>
        <w:t>8</w:t>
      </w:r>
      <w:r w:rsidR="00CF212D" w:rsidRPr="00530029">
        <w:rPr>
          <w:rFonts w:cstheme="minorHAnsi"/>
          <w:sz w:val="24"/>
          <w:szCs w:val="24"/>
        </w:rPr>
        <w:t xml:space="preserve"> </w:t>
      </w:r>
      <w:r w:rsidR="001B1277" w:rsidRPr="00530029">
        <w:rPr>
          <w:rFonts w:cstheme="minorHAnsi"/>
          <w:sz w:val="24"/>
          <w:szCs w:val="24"/>
        </w:rPr>
        <w:t>+</w:t>
      </w:r>
      <w:r w:rsidR="00CF212D" w:rsidRPr="00530029">
        <w:rPr>
          <w:rFonts w:cstheme="minorHAnsi"/>
          <w:sz w:val="24"/>
          <w:szCs w:val="24"/>
        </w:rPr>
        <w:t xml:space="preserve"> </w:t>
      </w:r>
      <w:r w:rsidR="001B1277" w:rsidRPr="00530029">
        <w:rPr>
          <w:rFonts w:cstheme="minorHAnsi"/>
          <w:sz w:val="24"/>
          <w:szCs w:val="24"/>
        </w:rPr>
        <w:t>8 = 24);</w:t>
      </w:r>
    </w:p>
    <w:p w14:paraId="3267BF64" w14:textId="149AABB3" w:rsidR="00BA7CBF" w:rsidRPr="00530029" w:rsidRDefault="009258A0" w:rsidP="000240B6">
      <w:pPr>
        <w:pStyle w:val="Paragrafoelenco"/>
        <w:numPr>
          <w:ilvl w:val="0"/>
          <w:numId w:val="27"/>
        </w:numPr>
        <w:spacing w:before="120" w:after="120" w:line="276" w:lineRule="auto"/>
        <w:ind w:left="709" w:hanging="425"/>
        <w:contextualSpacing w:val="0"/>
        <w:jc w:val="both"/>
        <w:rPr>
          <w:rFonts w:cstheme="minorHAnsi"/>
          <w:sz w:val="24"/>
          <w:szCs w:val="24"/>
        </w:rPr>
      </w:pPr>
      <w:r w:rsidRPr="00530029">
        <w:rPr>
          <w:rFonts w:cstheme="minorHAnsi"/>
          <w:sz w:val="24"/>
          <w:szCs w:val="24"/>
        </w:rPr>
        <w:t xml:space="preserve">la soglia di anomalia </w:t>
      </w:r>
      <w:r w:rsidR="00BA7CBF" w:rsidRPr="00530029">
        <w:rPr>
          <w:rFonts w:cstheme="minorHAnsi"/>
          <w:sz w:val="24"/>
          <w:szCs w:val="24"/>
        </w:rPr>
        <w:t>è</w:t>
      </w:r>
      <w:r w:rsidRPr="00530029">
        <w:rPr>
          <w:rFonts w:cstheme="minorHAnsi"/>
          <w:sz w:val="24"/>
          <w:szCs w:val="24"/>
        </w:rPr>
        <w:t xml:space="preserve"> uguale alla soglia di cui alla lettera</w:t>
      </w:r>
      <w:r w:rsidR="00BA7CBF" w:rsidRPr="00530029">
        <w:rPr>
          <w:rFonts w:cstheme="minorHAnsi"/>
          <w:sz w:val="24"/>
          <w:szCs w:val="24"/>
        </w:rPr>
        <w:t xml:space="preserve"> </w:t>
      </w:r>
      <w:r w:rsidRPr="00530029">
        <w:rPr>
          <w:rFonts w:cstheme="minorHAnsi"/>
          <w:sz w:val="24"/>
          <w:szCs w:val="24"/>
        </w:rPr>
        <w:t>c)</w:t>
      </w:r>
      <w:r w:rsidR="00DD130B" w:rsidRPr="00530029">
        <w:rPr>
          <w:rFonts w:cstheme="minorHAnsi"/>
          <w:sz w:val="24"/>
          <w:szCs w:val="24"/>
        </w:rPr>
        <w:t xml:space="preserve"> </w:t>
      </w:r>
      <w:r w:rsidRPr="00530029">
        <w:rPr>
          <w:rFonts w:cstheme="minorHAnsi"/>
          <w:sz w:val="24"/>
          <w:szCs w:val="24"/>
        </w:rPr>
        <w:t>decrementata del valore di cui alla lettera d), nel caso in cui il</w:t>
      </w:r>
      <w:r w:rsidR="00BA7CBF" w:rsidRPr="00530029">
        <w:rPr>
          <w:rFonts w:cstheme="minorHAnsi"/>
          <w:sz w:val="24"/>
          <w:szCs w:val="24"/>
        </w:rPr>
        <w:t xml:space="preserve"> </w:t>
      </w:r>
      <w:r w:rsidRPr="00530029">
        <w:rPr>
          <w:rFonts w:cstheme="minorHAnsi"/>
          <w:sz w:val="24"/>
          <w:szCs w:val="24"/>
        </w:rPr>
        <w:t>valore di cui alla lettera e) sia pari</w:t>
      </w:r>
      <w:r w:rsidR="00BC0B38" w:rsidRPr="00530029">
        <w:rPr>
          <w:rFonts w:cstheme="minorHAnsi"/>
          <w:sz w:val="24"/>
          <w:szCs w:val="24"/>
        </w:rPr>
        <w:t xml:space="preserve">. </w:t>
      </w:r>
      <w:r w:rsidR="00D33819" w:rsidRPr="00530029">
        <w:rPr>
          <w:rFonts w:cstheme="minorHAnsi"/>
          <w:sz w:val="24"/>
          <w:szCs w:val="24"/>
        </w:rPr>
        <w:t xml:space="preserve">Essendo </w:t>
      </w:r>
      <w:r w:rsidR="00F92441" w:rsidRPr="00530029">
        <w:rPr>
          <w:rFonts w:cstheme="minorHAnsi"/>
          <w:sz w:val="24"/>
          <w:szCs w:val="24"/>
        </w:rPr>
        <w:t xml:space="preserve">la somma di cui alla lettera e) pari, </w:t>
      </w:r>
      <w:r w:rsidR="00964B90" w:rsidRPr="00530029">
        <w:rPr>
          <w:rFonts w:cstheme="minorHAnsi"/>
          <w:sz w:val="24"/>
          <w:szCs w:val="24"/>
        </w:rPr>
        <w:t xml:space="preserve">la soglia di anomalia </w:t>
      </w:r>
      <w:r w:rsidR="00EC6AC4" w:rsidRPr="00530029">
        <w:rPr>
          <w:rFonts w:cstheme="minorHAnsi"/>
          <w:sz w:val="24"/>
          <w:szCs w:val="24"/>
        </w:rPr>
        <w:t>risulta coincidente a</w:t>
      </w:r>
      <w:r w:rsidR="00964B90" w:rsidRPr="00530029">
        <w:rPr>
          <w:rFonts w:cstheme="minorHAnsi"/>
          <w:sz w:val="24"/>
          <w:szCs w:val="24"/>
        </w:rPr>
        <w:t xml:space="preserve"> 14,885 (15,761 - 0,876).</w:t>
      </w:r>
    </w:p>
    <w:p w14:paraId="0E6303E2" w14:textId="701C81A1" w:rsidR="009258A0" w:rsidRPr="00530029" w:rsidRDefault="00120E2F" w:rsidP="000240B6">
      <w:pPr>
        <w:pStyle w:val="Paragrafoelenco"/>
        <w:pBdr>
          <w:top w:val="single" w:sz="4" w:space="1" w:color="auto"/>
          <w:left w:val="single" w:sz="4" w:space="4" w:color="auto"/>
          <w:bottom w:val="single" w:sz="4" w:space="1" w:color="auto"/>
          <w:right w:val="single" w:sz="4" w:space="4" w:color="auto"/>
        </w:pBdr>
        <w:spacing w:before="120" w:after="120" w:line="276" w:lineRule="auto"/>
        <w:ind w:left="709"/>
        <w:contextualSpacing w:val="0"/>
        <w:jc w:val="both"/>
        <w:rPr>
          <w:rFonts w:cstheme="minorHAnsi"/>
          <w:sz w:val="24"/>
          <w:szCs w:val="24"/>
        </w:rPr>
      </w:pPr>
      <w:r w:rsidRPr="00530029">
        <w:rPr>
          <w:rFonts w:cstheme="minorHAnsi"/>
          <w:sz w:val="24"/>
          <w:szCs w:val="24"/>
        </w:rPr>
        <w:lastRenderedPageBreak/>
        <w:t>N</w:t>
      </w:r>
      <w:r w:rsidR="009258A0" w:rsidRPr="00530029">
        <w:rPr>
          <w:rFonts w:cstheme="minorHAnsi"/>
          <w:sz w:val="24"/>
          <w:szCs w:val="24"/>
        </w:rPr>
        <w:t>el caso in cui il</w:t>
      </w:r>
      <w:r w:rsidR="00BA7CBF" w:rsidRPr="00530029">
        <w:rPr>
          <w:rFonts w:cstheme="minorHAnsi"/>
          <w:sz w:val="24"/>
          <w:szCs w:val="24"/>
        </w:rPr>
        <w:t xml:space="preserve"> </w:t>
      </w:r>
      <w:r w:rsidR="009258A0" w:rsidRPr="00530029">
        <w:rPr>
          <w:rFonts w:cstheme="minorHAnsi"/>
          <w:sz w:val="24"/>
          <w:szCs w:val="24"/>
        </w:rPr>
        <w:t>valore di cui alla lettera e) sia dispari</w:t>
      </w:r>
      <w:r w:rsidR="009C277D" w:rsidRPr="00530029">
        <w:rPr>
          <w:rFonts w:cstheme="minorHAnsi"/>
          <w:sz w:val="24"/>
          <w:szCs w:val="24"/>
        </w:rPr>
        <w:t xml:space="preserve">, </w:t>
      </w:r>
      <w:r w:rsidR="000A6569" w:rsidRPr="00530029">
        <w:rPr>
          <w:rFonts w:cstheme="minorHAnsi"/>
          <w:sz w:val="24"/>
          <w:szCs w:val="24"/>
        </w:rPr>
        <w:t>la soglia di anomalia è uguale alla soglia di cui alla lettera c)</w:t>
      </w:r>
      <w:r w:rsidR="0024385E" w:rsidRPr="00530029">
        <w:rPr>
          <w:rFonts w:cstheme="minorHAnsi"/>
          <w:sz w:val="24"/>
          <w:szCs w:val="24"/>
        </w:rPr>
        <w:t xml:space="preserve"> </w:t>
      </w:r>
      <w:r w:rsidR="009C277D" w:rsidRPr="00530029">
        <w:rPr>
          <w:rFonts w:cstheme="minorHAnsi"/>
          <w:sz w:val="24"/>
          <w:szCs w:val="24"/>
        </w:rPr>
        <w:t>incrementata del valore di cui alla lettera d)</w:t>
      </w:r>
      <w:r w:rsidR="000A6569" w:rsidRPr="00530029">
        <w:rPr>
          <w:rFonts w:cstheme="minorHAnsi"/>
          <w:sz w:val="24"/>
          <w:szCs w:val="24"/>
        </w:rPr>
        <w:t>.</w:t>
      </w:r>
    </w:p>
    <w:p w14:paraId="1183E7C1" w14:textId="5FE963F2" w:rsidR="001664C2" w:rsidRPr="00530029" w:rsidRDefault="003270AC" w:rsidP="000240B6">
      <w:pPr>
        <w:spacing w:before="120" w:after="120" w:line="276" w:lineRule="auto"/>
        <w:ind w:left="284"/>
        <w:jc w:val="both"/>
        <w:rPr>
          <w:rFonts w:cstheme="minorHAnsi"/>
          <w:sz w:val="24"/>
          <w:szCs w:val="24"/>
        </w:rPr>
      </w:pPr>
      <w:r w:rsidRPr="00530029">
        <w:rPr>
          <w:rFonts w:cstheme="minorHAnsi"/>
          <w:sz w:val="24"/>
          <w:szCs w:val="24"/>
        </w:rPr>
        <w:t>Tutte le offerte</w:t>
      </w:r>
      <w:r w:rsidR="009258A0" w:rsidRPr="00530029">
        <w:rPr>
          <w:rFonts w:cstheme="minorHAnsi"/>
          <w:sz w:val="24"/>
          <w:szCs w:val="24"/>
        </w:rPr>
        <w:t xml:space="preserve"> inferiori alla soglia di anomalia</w:t>
      </w:r>
      <w:r w:rsidR="00DB4CBE" w:rsidRPr="00530029">
        <w:rPr>
          <w:rFonts w:cstheme="minorHAnsi"/>
          <w:sz w:val="24"/>
          <w:szCs w:val="24"/>
        </w:rPr>
        <w:t xml:space="preserve"> individua</w:t>
      </w:r>
      <w:r w:rsidR="000878BC" w:rsidRPr="00530029">
        <w:rPr>
          <w:rFonts w:cstheme="minorHAnsi"/>
          <w:sz w:val="24"/>
          <w:szCs w:val="24"/>
        </w:rPr>
        <w:t>ta</w:t>
      </w:r>
      <w:r w:rsidR="009258A0" w:rsidRPr="00530029">
        <w:rPr>
          <w:rFonts w:cstheme="minorHAnsi"/>
          <w:sz w:val="24"/>
          <w:szCs w:val="24"/>
        </w:rPr>
        <w:t>, inclus</w:t>
      </w:r>
      <w:r w:rsidRPr="00530029">
        <w:rPr>
          <w:rFonts w:cstheme="minorHAnsi"/>
          <w:sz w:val="24"/>
          <w:szCs w:val="24"/>
        </w:rPr>
        <w:t>e</w:t>
      </w:r>
      <w:r w:rsidR="009258A0" w:rsidRPr="00530029">
        <w:rPr>
          <w:rFonts w:cstheme="minorHAnsi"/>
          <w:sz w:val="24"/>
          <w:szCs w:val="24"/>
        </w:rPr>
        <w:t xml:space="preserve"> quell</w:t>
      </w:r>
      <w:r w:rsidRPr="00530029">
        <w:rPr>
          <w:rFonts w:cstheme="minorHAnsi"/>
          <w:sz w:val="24"/>
          <w:szCs w:val="24"/>
        </w:rPr>
        <w:t>e</w:t>
      </w:r>
      <w:r w:rsidR="009258A0" w:rsidRPr="00530029">
        <w:rPr>
          <w:rFonts w:cstheme="minorHAnsi"/>
          <w:sz w:val="24"/>
          <w:szCs w:val="24"/>
        </w:rPr>
        <w:t xml:space="preserve"> accantonat</w:t>
      </w:r>
      <w:r w:rsidRPr="00530029">
        <w:rPr>
          <w:rFonts w:cstheme="minorHAnsi"/>
          <w:sz w:val="24"/>
          <w:szCs w:val="24"/>
        </w:rPr>
        <w:t>e</w:t>
      </w:r>
      <w:r w:rsidR="009258A0" w:rsidRPr="00530029">
        <w:rPr>
          <w:rFonts w:cstheme="minorHAnsi"/>
          <w:sz w:val="24"/>
          <w:szCs w:val="24"/>
        </w:rPr>
        <w:t xml:space="preserve">, </w:t>
      </w:r>
      <w:r w:rsidR="00572DD8" w:rsidRPr="00530029">
        <w:rPr>
          <w:rFonts w:cstheme="minorHAnsi"/>
          <w:sz w:val="24"/>
          <w:szCs w:val="24"/>
        </w:rPr>
        <w:t>sono</w:t>
      </w:r>
      <w:r w:rsidR="002D46CD" w:rsidRPr="00530029">
        <w:rPr>
          <w:rFonts w:cstheme="minorHAnsi"/>
          <w:sz w:val="24"/>
          <w:szCs w:val="24"/>
        </w:rPr>
        <w:t xml:space="preserve"> </w:t>
      </w:r>
      <w:r w:rsidR="009258A0" w:rsidRPr="00530029">
        <w:rPr>
          <w:rFonts w:cstheme="minorHAnsi"/>
          <w:sz w:val="24"/>
          <w:szCs w:val="24"/>
        </w:rPr>
        <w:t>"non-anomale".</w:t>
      </w:r>
      <w:r w:rsidR="007C60AB" w:rsidRPr="00530029">
        <w:rPr>
          <w:rFonts w:cstheme="minorHAnsi"/>
          <w:sz w:val="24"/>
          <w:szCs w:val="24"/>
        </w:rPr>
        <w:t xml:space="preserve"> </w:t>
      </w:r>
      <w:r w:rsidR="009258A0" w:rsidRPr="00530029">
        <w:rPr>
          <w:rFonts w:cstheme="minorHAnsi"/>
          <w:sz w:val="24"/>
          <w:szCs w:val="24"/>
        </w:rPr>
        <w:t>Tra tutte le offerte</w:t>
      </w:r>
      <w:r w:rsidR="002572AD" w:rsidRPr="00530029">
        <w:rPr>
          <w:rFonts w:cstheme="minorHAnsi"/>
          <w:sz w:val="24"/>
          <w:szCs w:val="24"/>
        </w:rPr>
        <w:t xml:space="preserve"> </w:t>
      </w:r>
      <w:r w:rsidR="009258A0" w:rsidRPr="00530029">
        <w:rPr>
          <w:rFonts w:cstheme="minorHAnsi"/>
          <w:sz w:val="24"/>
          <w:szCs w:val="24"/>
        </w:rPr>
        <w:t xml:space="preserve">"non-anomale", la </w:t>
      </w:r>
      <w:r w:rsidR="00F656C0">
        <w:rPr>
          <w:rFonts w:cstheme="minorHAnsi"/>
          <w:sz w:val="24"/>
          <w:szCs w:val="24"/>
        </w:rPr>
        <w:t>S</w:t>
      </w:r>
      <w:r w:rsidR="00F656C0" w:rsidRPr="00530029">
        <w:rPr>
          <w:rFonts w:cstheme="minorHAnsi"/>
          <w:sz w:val="24"/>
          <w:szCs w:val="24"/>
        </w:rPr>
        <w:t xml:space="preserve">tazione </w:t>
      </w:r>
      <w:r w:rsidR="00F656C0">
        <w:rPr>
          <w:rFonts w:cstheme="minorHAnsi"/>
          <w:sz w:val="24"/>
          <w:szCs w:val="24"/>
        </w:rPr>
        <w:t>A</w:t>
      </w:r>
      <w:r w:rsidR="00F656C0" w:rsidRPr="00530029">
        <w:rPr>
          <w:rFonts w:cstheme="minorHAnsi"/>
          <w:sz w:val="24"/>
          <w:szCs w:val="24"/>
        </w:rPr>
        <w:t xml:space="preserve">ppaltante </w:t>
      </w:r>
      <w:r w:rsidR="009258A0" w:rsidRPr="00530029">
        <w:rPr>
          <w:rFonts w:cstheme="minorHAnsi"/>
          <w:sz w:val="24"/>
          <w:szCs w:val="24"/>
        </w:rPr>
        <w:t>individua come vincitrice</w:t>
      </w:r>
      <w:r w:rsidR="00F75F24" w:rsidRPr="00530029">
        <w:rPr>
          <w:rFonts w:cstheme="minorHAnsi"/>
          <w:sz w:val="24"/>
          <w:szCs w:val="24"/>
        </w:rPr>
        <w:t xml:space="preserve"> </w:t>
      </w:r>
      <w:r w:rsidR="009258A0" w:rsidRPr="00530029">
        <w:rPr>
          <w:rFonts w:cstheme="minorHAnsi"/>
          <w:sz w:val="24"/>
          <w:szCs w:val="24"/>
        </w:rPr>
        <w:t>l'impresa che abbia offerto lo sconto maggiore.  Lo sconto di</w:t>
      </w:r>
      <w:r w:rsidR="00F75F24" w:rsidRPr="00530029">
        <w:rPr>
          <w:rFonts w:cstheme="minorHAnsi"/>
          <w:sz w:val="24"/>
          <w:szCs w:val="24"/>
        </w:rPr>
        <w:t xml:space="preserve"> </w:t>
      </w:r>
      <w:r w:rsidR="009258A0" w:rsidRPr="00530029">
        <w:rPr>
          <w:rFonts w:cstheme="minorHAnsi"/>
          <w:sz w:val="24"/>
          <w:szCs w:val="24"/>
        </w:rPr>
        <w:t xml:space="preserve">aggiudicazione corrisposto a questa impresa aggiudicataria </w:t>
      </w:r>
      <w:r w:rsidR="00F75F24" w:rsidRPr="00530029">
        <w:rPr>
          <w:rFonts w:cstheme="minorHAnsi"/>
          <w:sz w:val="24"/>
          <w:szCs w:val="24"/>
        </w:rPr>
        <w:t>è</w:t>
      </w:r>
      <w:r w:rsidR="009258A0" w:rsidRPr="00530029">
        <w:rPr>
          <w:rFonts w:cstheme="minorHAnsi"/>
          <w:sz w:val="24"/>
          <w:szCs w:val="24"/>
        </w:rPr>
        <w:t xml:space="preserve"> pari</w:t>
      </w:r>
      <w:r w:rsidR="00F75F24" w:rsidRPr="00530029">
        <w:rPr>
          <w:rFonts w:cstheme="minorHAnsi"/>
          <w:sz w:val="24"/>
          <w:szCs w:val="24"/>
        </w:rPr>
        <w:t xml:space="preserve"> </w:t>
      </w:r>
      <w:r w:rsidR="009258A0" w:rsidRPr="00530029">
        <w:rPr>
          <w:rFonts w:cstheme="minorHAnsi"/>
          <w:sz w:val="24"/>
          <w:szCs w:val="24"/>
        </w:rPr>
        <w:t>allo sconto maggiore tra tutti quelli ammessi ed escluso quello</w:t>
      </w:r>
      <w:r w:rsidR="00F23722" w:rsidRPr="00530029">
        <w:rPr>
          <w:rFonts w:cstheme="minorHAnsi"/>
          <w:sz w:val="24"/>
          <w:szCs w:val="24"/>
        </w:rPr>
        <w:t xml:space="preserve"> </w:t>
      </w:r>
      <w:r w:rsidR="009258A0" w:rsidRPr="00530029">
        <w:rPr>
          <w:rFonts w:cstheme="minorHAnsi"/>
          <w:sz w:val="24"/>
          <w:szCs w:val="24"/>
        </w:rPr>
        <w:t>dell'impresa aggiudicataria (c.d. "metodo del secondo prezzo"). In</w:t>
      </w:r>
      <w:r w:rsidR="00F23722" w:rsidRPr="00530029">
        <w:rPr>
          <w:rFonts w:cstheme="minorHAnsi"/>
          <w:sz w:val="24"/>
          <w:szCs w:val="24"/>
        </w:rPr>
        <w:t xml:space="preserve"> </w:t>
      </w:r>
      <w:r w:rsidR="009258A0" w:rsidRPr="00530029">
        <w:rPr>
          <w:rFonts w:cstheme="minorHAnsi"/>
          <w:sz w:val="24"/>
          <w:szCs w:val="24"/>
        </w:rPr>
        <w:t xml:space="preserve">caso di pareggio con </w:t>
      </w:r>
      <w:r w:rsidR="00F23722" w:rsidRPr="00530029">
        <w:rPr>
          <w:rFonts w:cstheme="minorHAnsi"/>
          <w:sz w:val="24"/>
          <w:szCs w:val="24"/>
        </w:rPr>
        <w:t>più</w:t>
      </w:r>
      <w:r w:rsidR="009258A0" w:rsidRPr="00530029">
        <w:rPr>
          <w:rFonts w:cstheme="minorHAnsi"/>
          <w:sz w:val="24"/>
          <w:szCs w:val="24"/>
        </w:rPr>
        <w:t xml:space="preserve"> offerte identiche allo sconto </w:t>
      </w:r>
      <w:r w:rsidR="00F23722" w:rsidRPr="00530029">
        <w:rPr>
          <w:rFonts w:cstheme="minorHAnsi"/>
          <w:sz w:val="24"/>
          <w:szCs w:val="24"/>
        </w:rPr>
        <w:t xml:space="preserve">maggiore, il </w:t>
      </w:r>
      <w:r w:rsidR="009258A0" w:rsidRPr="00530029">
        <w:rPr>
          <w:rFonts w:cstheme="minorHAnsi"/>
          <w:sz w:val="24"/>
          <w:szCs w:val="24"/>
        </w:rPr>
        <w:t xml:space="preserve">vincitore </w:t>
      </w:r>
      <w:r w:rsidR="00F23722" w:rsidRPr="00530029">
        <w:rPr>
          <w:rFonts w:cstheme="minorHAnsi"/>
          <w:sz w:val="24"/>
          <w:szCs w:val="24"/>
        </w:rPr>
        <w:t>è</w:t>
      </w:r>
      <w:r w:rsidR="009258A0" w:rsidRPr="00530029">
        <w:rPr>
          <w:rFonts w:cstheme="minorHAnsi"/>
          <w:sz w:val="24"/>
          <w:szCs w:val="24"/>
        </w:rPr>
        <w:t xml:space="preserve"> estratto a sorte </w:t>
      </w:r>
      <w:r w:rsidR="00F23722" w:rsidRPr="00530029">
        <w:rPr>
          <w:rFonts w:cstheme="minorHAnsi"/>
          <w:sz w:val="24"/>
          <w:szCs w:val="24"/>
        </w:rPr>
        <w:t>tra queste</w:t>
      </w:r>
      <w:r w:rsidR="009258A0" w:rsidRPr="00530029">
        <w:rPr>
          <w:rFonts w:cstheme="minorHAnsi"/>
          <w:sz w:val="24"/>
          <w:szCs w:val="24"/>
        </w:rPr>
        <w:t xml:space="preserve"> offerte e lo sconto di</w:t>
      </w:r>
      <w:r w:rsidR="00F23722" w:rsidRPr="00530029">
        <w:rPr>
          <w:rFonts w:cstheme="minorHAnsi"/>
          <w:sz w:val="24"/>
          <w:szCs w:val="24"/>
        </w:rPr>
        <w:t xml:space="preserve"> </w:t>
      </w:r>
      <w:r w:rsidR="009258A0" w:rsidRPr="00530029">
        <w:rPr>
          <w:rFonts w:cstheme="minorHAnsi"/>
          <w:sz w:val="24"/>
          <w:szCs w:val="24"/>
        </w:rPr>
        <w:t>aggiudicazione</w:t>
      </w:r>
      <w:r w:rsidR="00572DD8" w:rsidRPr="00530029">
        <w:rPr>
          <w:rFonts w:cstheme="minorHAnsi"/>
          <w:sz w:val="24"/>
          <w:szCs w:val="24"/>
        </w:rPr>
        <w:t xml:space="preserve"> </w:t>
      </w:r>
      <w:r w:rsidR="009258A0" w:rsidRPr="00530029">
        <w:rPr>
          <w:rFonts w:cstheme="minorHAnsi"/>
          <w:sz w:val="24"/>
          <w:szCs w:val="24"/>
        </w:rPr>
        <w:t xml:space="preserve">riconosciuto </w:t>
      </w:r>
      <w:r w:rsidR="00F23722" w:rsidRPr="00530029">
        <w:rPr>
          <w:rFonts w:cstheme="minorHAnsi"/>
          <w:sz w:val="24"/>
          <w:szCs w:val="24"/>
        </w:rPr>
        <w:t>è</w:t>
      </w:r>
      <w:r w:rsidR="009258A0" w:rsidRPr="00530029">
        <w:rPr>
          <w:rFonts w:cstheme="minorHAnsi"/>
          <w:sz w:val="24"/>
          <w:szCs w:val="24"/>
        </w:rPr>
        <w:t xml:space="preserve"> pari allo</w:t>
      </w:r>
      <w:r w:rsidR="00572DD8" w:rsidRPr="00530029">
        <w:rPr>
          <w:rFonts w:cstheme="minorHAnsi"/>
          <w:sz w:val="24"/>
          <w:szCs w:val="24"/>
        </w:rPr>
        <w:t xml:space="preserve"> </w:t>
      </w:r>
      <w:r w:rsidR="009258A0" w:rsidRPr="00530029">
        <w:rPr>
          <w:rFonts w:cstheme="minorHAnsi"/>
          <w:sz w:val="24"/>
          <w:szCs w:val="24"/>
        </w:rPr>
        <w:t>sconto</w:t>
      </w:r>
      <w:r w:rsidR="00F23722" w:rsidRPr="00530029">
        <w:rPr>
          <w:rFonts w:cstheme="minorHAnsi"/>
          <w:sz w:val="24"/>
          <w:szCs w:val="24"/>
        </w:rPr>
        <w:t xml:space="preserve"> </w:t>
      </w:r>
      <w:r w:rsidR="009258A0" w:rsidRPr="00530029">
        <w:rPr>
          <w:rFonts w:cstheme="minorHAnsi"/>
          <w:sz w:val="24"/>
          <w:szCs w:val="24"/>
        </w:rPr>
        <w:t>offerto</w:t>
      </w:r>
      <w:r w:rsidR="00F23722" w:rsidRPr="00530029">
        <w:rPr>
          <w:rFonts w:cstheme="minorHAnsi"/>
          <w:sz w:val="24"/>
          <w:szCs w:val="24"/>
        </w:rPr>
        <w:t xml:space="preserve"> </w:t>
      </w:r>
      <w:r w:rsidR="009258A0" w:rsidRPr="00530029">
        <w:rPr>
          <w:rFonts w:cstheme="minorHAnsi"/>
          <w:sz w:val="24"/>
          <w:szCs w:val="24"/>
        </w:rPr>
        <w:t>dall'aggiudicataria.</w:t>
      </w:r>
    </w:p>
    <w:p w14:paraId="105DB0D6" w14:textId="5A3ECCCE" w:rsidR="00A17092" w:rsidRPr="00530029" w:rsidRDefault="00A17092" w:rsidP="000240B6">
      <w:pPr>
        <w:pStyle w:val="Paragrafoelenco"/>
        <w:numPr>
          <w:ilvl w:val="0"/>
          <w:numId w:val="24"/>
        </w:numPr>
        <w:spacing w:before="120" w:after="120" w:line="276" w:lineRule="auto"/>
        <w:ind w:left="284" w:hanging="284"/>
        <w:jc w:val="both"/>
        <w:rPr>
          <w:rFonts w:cstheme="minorHAnsi"/>
          <w:b/>
          <w:bCs/>
          <w:sz w:val="24"/>
          <w:szCs w:val="24"/>
          <w:u w:val="single"/>
        </w:rPr>
      </w:pPr>
      <w:r w:rsidRPr="00530029">
        <w:rPr>
          <w:rFonts w:cstheme="minorHAnsi"/>
          <w:b/>
          <w:bCs/>
          <w:sz w:val="24"/>
          <w:szCs w:val="24"/>
          <w:u w:val="single"/>
        </w:rPr>
        <w:t>METODO C</w:t>
      </w:r>
    </w:p>
    <w:p w14:paraId="7380615B" w14:textId="27760ECC" w:rsidR="0041231C" w:rsidRPr="00530029" w:rsidRDefault="00980601" w:rsidP="000240B6">
      <w:pPr>
        <w:spacing w:before="120" w:after="120" w:line="276" w:lineRule="auto"/>
        <w:ind w:left="284"/>
        <w:jc w:val="both"/>
        <w:rPr>
          <w:rFonts w:cstheme="minorHAnsi"/>
          <w:sz w:val="24"/>
          <w:szCs w:val="24"/>
        </w:rPr>
      </w:pPr>
      <w:r w:rsidRPr="00530029">
        <w:rPr>
          <w:rFonts w:cstheme="minorHAnsi"/>
          <w:sz w:val="24"/>
          <w:szCs w:val="24"/>
        </w:rPr>
        <w:t>Nel</w:t>
      </w:r>
      <w:r w:rsidR="00A20858" w:rsidRPr="00530029">
        <w:rPr>
          <w:rFonts w:cstheme="minorHAnsi"/>
          <w:sz w:val="24"/>
          <w:szCs w:val="24"/>
        </w:rPr>
        <w:t xml:space="preserve"> </w:t>
      </w:r>
      <w:r w:rsidRPr="00530029">
        <w:rPr>
          <w:rFonts w:cstheme="minorHAnsi"/>
          <w:sz w:val="24"/>
          <w:szCs w:val="24"/>
        </w:rPr>
        <w:t>s</w:t>
      </w:r>
      <w:r w:rsidR="00A20858" w:rsidRPr="00530029">
        <w:rPr>
          <w:rFonts w:cstheme="minorHAnsi"/>
          <w:sz w:val="24"/>
          <w:szCs w:val="24"/>
        </w:rPr>
        <w:t xml:space="preserve">eguito </w:t>
      </w:r>
      <w:r w:rsidR="00FA673D" w:rsidRPr="00530029">
        <w:rPr>
          <w:rFonts w:cstheme="minorHAnsi"/>
          <w:sz w:val="24"/>
          <w:szCs w:val="24"/>
        </w:rPr>
        <w:t xml:space="preserve">vengono illustrate </w:t>
      </w:r>
      <w:r w:rsidR="00A20858" w:rsidRPr="00530029">
        <w:rPr>
          <w:rFonts w:cstheme="minorHAnsi"/>
          <w:sz w:val="24"/>
          <w:szCs w:val="24"/>
        </w:rPr>
        <w:t xml:space="preserve">le modalità di calcolo di cui al METODO </w:t>
      </w:r>
      <w:r w:rsidRPr="00530029">
        <w:rPr>
          <w:rFonts w:cstheme="minorHAnsi"/>
          <w:sz w:val="24"/>
          <w:szCs w:val="24"/>
        </w:rPr>
        <w:t>C</w:t>
      </w:r>
      <w:r w:rsidR="003F1786" w:rsidRPr="00530029">
        <w:rPr>
          <w:rFonts w:cstheme="minorHAnsi"/>
          <w:sz w:val="24"/>
          <w:szCs w:val="24"/>
        </w:rPr>
        <w:t>.</w:t>
      </w:r>
    </w:p>
    <w:p w14:paraId="1F75BF5D" w14:textId="2ABDE716" w:rsidR="009258A0" w:rsidRPr="00530029" w:rsidRDefault="009258A0" w:rsidP="000240B6">
      <w:pPr>
        <w:spacing w:before="120" w:after="120" w:line="276" w:lineRule="auto"/>
        <w:ind w:left="284"/>
        <w:jc w:val="both"/>
        <w:rPr>
          <w:rFonts w:cstheme="minorHAnsi"/>
          <w:sz w:val="24"/>
          <w:szCs w:val="24"/>
        </w:rPr>
      </w:pPr>
      <w:r w:rsidRPr="00530029">
        <w:rPr>
          <w:rFonts w:cstheme="minorHAnsi"/>
          <w:sz w:val="24"/>
          <w:szCs w:val="24"/>
        </w:rPr>
        <w:t>L'applicazione di questo metodo richiede che, in via preliminare,</w:t>
      </w:r>
      <w:r w:rsidR="0041231C" w:rsidRPr="00530029">
        <w:rPr>
          <w:rFonts w:cstheme="minorHAnsi"/>
          <w:sz w:val="24"/>
          <w:szCs w:val="24"/>
        </w:rPr>
        <w:t xml:space="preserve"> </w:t>
      </w:r>
      <w:r w:rsidRPr="00530029">
        <w:rPr>
          <w:rFonts w:cstheme="minorHAnsi"/>
          <w:sz w:val="24"/>
          <w:szCs w:val="24"/>
        </w:rPr>
        <w:t xml:space="preserve">la </w:t>
      </w:r>
      <w:r w:rsidR="00F656C0">
        <w:rPr>
          <w:rFonts w:cstheme="minorHAnsi"/>
          <w:sz w:val="24"/>
          <w:szCs w:val="24"/>
        </w:rPr>
        <w:t>S</w:t>
      </w:r>
      <w:r w:rsidR="00F656C0" w:rsidRPr="00530029">
        <w:rPr>
          <w:rFonts w:cstheme="minorHAnsi"/>
          <w:sz w:val="24"/>
          <w:szCs w:val="24"/>
        </w:rPr>
        <w:t xml:space="preserve">tazione </w:t>
      </w:r>
      <w:r w:rsidR="00F656C0">
        <w:rPr>
          <w:rFonts w:cstheme="minorHAnsi"/>
          <w:sz w:val="24"/>
          <w:szCs w:val="24"/>
        </w:rPr>
        <w:t>A</w:t>
      </w:r>
      <w:r w:rsidR="00F656C0" w:rsidRPr="00530029">
        <w:rPr>
          <w:rFonts w:cstheme="minorHAnsi"/>
          <w:sz w:val="24"/>
          <w:szCs w:val="24"/>
        </w:rPr>
        <w:t xml:space="preserve">ppaltante </w:t>
      </w:r>
      <w:r w:rsidRPr="00530029">
        <w:rPr>
          <w:rFonts w:cstheme="minorHAnsi"/>
          <w:sz w:val="24"/>
          <w:szCs w:val="24"/>
        </w:rPr>
        <w:t>abbia indicato nel bando di gara o nell'invito</w:t>
      </w:r>
      <w:r w:rsidR="0041231C" w:rsidRPr="00530029">
        <w:rPr>
          <w:rFonts w:cstheme="minorHAnsi"/>
          <w:sz w:val="24"/>
          <w:szCs w:val="24"/>
        </w:rPr>
        <w:t xml:space="preserve"> </w:t>
      </w:r>
      <w:r w:rsidRPr="00530029">
        <w:rPr>
          <w:rFonts w:cstheme="minorHAnsi"/>
          <w:sz w:val="24"/>
          <w:szCs w:val="24"/>
        </w:rPr>
        <w:t>di partecipazione lo sconto di riferimento che rappresenta,</w:t>
      </w:r>
      <w:r w:rsidR="00FE7161" w:rsidRPr="00530029">
        <w:rPr>
          <w:rFonts w:cstheme="minorHAnsi"/>
          <w:sz w:val="24"/>
          <w:szCs w:val="24"/>
        </w:rPr>
        <w:t xml:space="preserve"> </w:t>
      </w:r>
      <w:r w:rsidRPr="00530029">
        <w:rPr>
          <w:rFonts w:cstheme="minorHAnsi"/>
          <w:sz w:val="24"/>
          <w:szCs w:val="24"/>
        </w:rPr>
        <w:t>indicativamente, la soglia di anomalia al netto di una componente</w:t>
      </w:r>
      <w:r w:rsidR="00FE7161" w:rsidRPr="00530029">
        <w:rPr>
          <w:rFonts w:cstheme="minorHAnsi"/>
          <w:sz w:val="24"/>
          <w:szCs w:val="24"/>
        </w:rPr>
        <w:t xml:space="preserve"> </w:t>
      </w:r>
      <w:r w:rsidRPr="00530029">
        <w:rPr>
          <w:rFonts w:cstheme="minorHAnsi"/>
          <w:sz w:val="24"/>
          <w:szCs w:val="24"/>
        </w:rPr>
        <w:t xml:space="preserve">randomica dipendente dagli sconti ricevuti. Tale sconto </w:t>
      </w:r>
      <w:r w:rsidR="00FE7161" w:rsidRPr="00530029">
        <w:rPr>
          <w:rFonts w:cstheme="minorHAnsi"/>
          <w:sz w:val="24"/>
          <w:szCs w:val="24"/>
        </w:rPr>
        <w:t>è</w:t>
      </w:r>
      <w:r w:rsidRPr="00530029">
        <w:rPr>
          <w:rFonts w:cstheme="minorHAnsi"/>
          <w:sz w:val="24"/>
          <w:szCs w:val="24"/>
        </w:rPr>
        <w:t xml:space="preserve"> espresso</w:t>
      </w:r>
      <w:r w:rsidR="00F544A3" w:rsidRPr="00530029">
        <w:rPr>
          <w:rFonts w:cstheme="minorHAnsi"/>
          <w:sz w:val="24"/>
          <w:szCs w:val="24"/>
        </w:rPr>
        <w:t xml:space="preserve"> </w:t>
      </w:r>
      <w:r w:rsidRPr="00530029">
        <w:rPr>
          <w:rFonts w:cstheme="minorHAnsi"/>
          <w:sz w:val="24"/>
          <w:szCs w:val="24"/>
        </w:rPr>
        <w:t>come percentuale della base d'asta rispetto a cui le imprese</w:t>
      </w:r>
      <w:r w:rsidR="00F544A3" w:rsidRPr="00530029">
        <w:rPr>
          <w:rFonts w:cstheme="minorHAnsi"/>
          <w:sz w:val="24"/>
          <w:szCs w:val="24"/>
        </w:rPr>
        <w:t xml:space="preserve"> </w:t>
      </w:r>
      <w:r w:rsidRPr="00530029">
        <w:rPr>
          <w:rFonts w:cstheme="minorHAnsi"/>
          <w:sz w:val="24"/>
          <w:szCs w:val="24"/>
        </w:rPr>
        <w:t>formulano i loro sconti e viene individuato o tra i valori riportati</w:t>
      </w:r>
      <w:r w:rsidR="00F544A3" w:rsidRPr="00530029">
        <w:rPr>
          <w:rFonts w:cstheme="minorHAnsi"/>
          <w:sz w:val="24"/>
          <w:szCs w:val="24"/>
        </w:rPr>
        <w:t xml:space="preserve"> </w:t>
      </w:r>
      <w:r w:rsidRPr="00530029">
        <w:rPr>
          <w:rFonts w:cstheme="minorHAnsi"/>
          <w:sz w:val="24"/>
          <w:szCs w:val="24"/>
        </w:rPr>
        <w:t xml:space="preserve">nella Tabella A </w:t>
      </w:r>
      <w:r w:rsidR="008578D6" w:rsidRPr="00530029">
        <w:rPr>
          <w:rFonts w:cstheme="minorHAnsi"/>
          <w:sz w:val="24"/>
          <w:szCs w:val="24"/>
        </w:rPr>
        <w:t>d</w:t>
      </w:r>
      <w:r w:rsidR="003A7B4D" w:rsidRPr="00530029">
        <w:rPr>
          <w:rFonts w:cstheme="minorHAnsi"/>
          <w:sz w:val="24"/>
          <w:szCs w:val="24"/>
        </w:rPr>
        <w:t>ell’</w:t>
      </w:r>
      <w:r w:rsidR="00A32D2C">
        <w:rPr>
          <w:rFonts w:cstheme="minorHAnsi"/>
          <w:sz w:val="24"/>
          <w:szCs w:val="24"/>
        </w:rPr>
        <w:t>A</w:t>
      </w:r>
      <w:r w:rsidR="003A7B4D" w:rsidRPr="00530029">
        <w:rPr>
          <w:rFonts w:cstheme="minorHAnsi"/>
          <w:sz w:val="24"/>
          <w:szCs w:val="24"/>
        </w:rPr>
        <w:t xml:space="preserve">llegato II.2 al Codice </w:t>
      </w:r>
      <w:r w:rsidR="00D7148C" w:rsidRPr="00530029">
        <w:rPr>
          <w:rFonts w:cstheme="minorHAnsi"/>
          <w:sz w:val="24"/>
          <w:szCs w:val="24"/>
        </w:rPr>
        <w:t xml:space="preserve">(per i </w:t>
      </w:r>
      <w:r w:rsidR="00852568" w:rsidRPr="00530029">
        <w:rPr>
          <w:rFonts w:cstheme="minorHAnsi"/>
          <w:sz w:val="24"/>
          <w:szCs w:val="24"/>
        </w:rPr>
        <w:t xml:space="preserve">soli </w:t>
      </w:r>
      <w:r w:rsidR="00D7148C" w:rsidRPr="00530029">
        <w:rPr>
          <w:rFonts w:cstheme="minorHAnsi"/>
          <w:sz w:val="24"/>
          <w:szCs w:val="24"/>
        </w:rPr>
        <w:t xml:space="preserve">lavori) </w:t>
      </w:r>
      <w:r w:rsidRPr="00530029">
        <w:rPr>
          <w:rFonts w:cstheme="minorHAnsi"/>
          <w:sz w:val="24"/>
          <w:szCs w:val="24"/>
        </w:rPr>
        <w:t>oppure discostandosi da questi e motivando la scelta</w:t>
      </w:r>
      <w:r w:rsidR="00F544A3" w:rsidRPr="00530029">
        <w:rPr>
          <w:rFonts w:cstheme="minorHAnsi"/>
          <w:sz w:val="24"/>
          <w:szCs w:val="24"/>
        </w:rPr>
        <w:t xml:space="preserve"> </w:t>
      </w:r>
      <w:r w:rsidRPr="00530029">
        <w:rPr>
          <w:rFonts w:cstheme="minorHAnsi"/>
          <w:sz w:val="24"/>
          <w:szCs w:val="24"/>
        </w:rPr>
        <w:t>in base all'esigenza di selezionare un'offerta con caratteristiche di</w:t>
      </w:r>
      <w:r w:rsidR="00F544A3" w:rsidRPr="00530029">
        <w:rPr>
          <w:rFonts w:cstheme="minorHAnsi"/>
          <w:sz w:val="24"/>
          <w:szCs w:val="24"/>
        </w:rPr>
        <w:t xml:space="preserve"> </w:t>
      </w:r>
      <w:r w:rsidRPr="00530029">
        <w:rPr>
          <w:rFonts w:cstheme="minorHAnsi"/>
          <w:sz w:val="24"/>
          <w:szCs w:val="24"/>
        </w:rPr>
        <w:t>prezzo-</w:t>
      </w:r>
      <w:r w:rsidR="00F544A3" w:rsidRPr="00530029">
        <w:rPr>
          <w:rFonts w:cstheme="minorHAnsi"/>
          <w:sz w:val="24"/>
          <w:szCs w:val="24"/>
        </w:rPr>
        <w:t>qualità</w:t>
      </w:r>
      <w:r w:rsidRPr="00530029">
        <w:rPr>
          <w:rFonts w:cstheme="minorHAnsi"/>
          <w:sz w:val="24"/>
          <w:szCs w:val="24"/>
        </w:rPr>
        <w:t xml:space="preserve"> congrue con i bisogni della </w:t>
      </w:r>
      <w:r w:rsidR="00F656C0">
        <w:rPr>
          <w:rFonts w:cstheme="minorHAnsi"/>
          <w:sz w:val="24"/>
          <w:szCs w:val="24"/>
        </w:rPr>
        <w:t>S</w:t>
      </w:r>
      <w:r w:rsidRPr="00530029">
        <w:rPr>
          <w:rFonts w:cstheme="minorHAnsi"/>
          <w:sz w:val="24"/>
          <w:szCs w:val="24"/>
        </w:rPr>
        <w:t xml:space="preserve">tazione </w:t>
      </w:r>
      <w:r w:rsidR="00F656C0">
        <w:rPr>
          <w:rFonts w:cstheme="minorHAnsi"/>
          <w:sz w:val="24"/>
          <w:szCs w:val="24"/>
        </w:rPr>
        <w:t>A</w:t>
      </w:r>
      <w:r w:rsidR="00F656C0" w:rsidRPr="00530029">
        <w:rPr>
          <w:rFonts w:cstheme="minorHAnsi"/>
          <w:sz w:val="24"/>
          <w:szCs w:val="24"/>
        </w:rPr>
        <w:t xml:space="preserve">ppaltante </w:t>
      </w:r>
      <w:r w:rsidRPr="00530029">
        <w:rPr>
          <w:rFonts w:cstheme="minorHAnsi"/>
          <w:sz w:val="24"/>
          <w:szCs w:val="24"/>
        </w:rPr>
        <w:t>stessa.</w:t>
      </w:r>
    </w:p>
    <w:p w14:paraId="787057ED" w14:textId="26B38517" w:rsidR="00470C86" w:rsidRPr="00530029" w:rsidRDefault="00470C86" w:rsidP="000240B6">
      <w:pPr>
        <w:spacing w:before="120" w:after="120" w:line="276" w:lineRule="auto"/>
        <w:ind w:left="284"/>
        <w:jc w:val="both"/>
        <w:rPr>
          <w:rFonts w:cstheme="minorHAnsi"/>
          <w:sz w:val="24"/>
          <w:szCs w:val="24"/>
        </w:rPr>
      </w:pPr>
      <w:r w:rsidRPr="00530029">
        <w:rPr>
          <w:rFonts w:cstheme="minorHAnsi"/>
          <w:sz w:val="24"/>
          <w:szCs w:val="24"/>
        </w:rPr>
        <w:t xml:space="preserve">Qualora dunque le </w:t>
      </w:r>
      <w:r w:rsidR="00F656C0">
        <w:rPr>
          <w:rFonts w:cstheme="minorHAnsi"/>
          <w:sz w:val="24"/>
          <w:szCs w:val="24"/>
        </w:rPr>
        <w:t>S</w:t>
      </w:r>
      <w:r w:rsidRPr="00530029">
        <w:rPr>
          <w:rFonts w:cstheme="minorHAnsi"/>
          <w:sz w:val="24"/>
          <w:szCs w:val="24"/>
        </w:rPr>
        <w:t xml:space="preserve">tazioni </w:t>
      </w:r>
      <w:r w:rsidR="00F656C0">
        <w:rPr>
          <w:rFonts w:cstheme="minorHAnsi"/>
          <w:sz w:val="24"/>
          <w:szCs w:val="24"/>
        </w:rPr>
        <w:t>A</w:t>
      </w:r>
      <w:r w:rsidR="00F656C0" w:rsidRPr="00530029">
        <w:rPr>
          <w:rFonts w:cstheme="minorHAnsi"/>
          <w:sz w:val="24"/>
          <w:szCs w:val="24"/>
        </w:rPr>
        <w:t xml:space="preserve">ppaltanti </w:t>
      </w:r>
      <w:r w:rsidRPr="00530029">
        <w:rPr>
          <w:rFonts w:cstheme="minorHAnsi"/>
          <w:sz w:val="24"/>
          <w:szCs w:val="24"/>
        </w:rPr>
        <w:t>ricorrano al sorteggio del metodo da utilizzare in fase di valutazione delle offerte, dovranno comunque premurarsi di indicare lo sconto di riferimento.</w:t>
      </w:r>
    </w:p>
    <w:p w14:paraId="691EB034" w14:textId="243FBC9D" w:rsidR="00B95BCB" w:rsidRPr="00530029" w:rsidRDefault="00B52097" w:rsidP="000240B6">
      <w:pPr>
        <w:spacing w:before="120" w:after="120" w:line="276" w:lineRule="auto"/>
        <w:ind w:left="284"/>
        <w:jc w:val="both"/>
        <w:rPr>
          <w:rFonts w:cstheme="minorHAnsi"/>
          <w:sz w:val="24"/>
          <w:szCs w:val="24"/>
        </w:rPr>
      </w:pPr>
      <w:r w:rsidRPr="00530029">
        <w:rPr>
          <w:rFonts w:cstheme="minorHAnsi"/>
          <w:sz w:val="24"/>
          <w:szCs w:val="24"/>
        </w:rPr>
        <w:t>Nel caso in cui la somma di tutte le cifre, sia prima che dopo la virgola fino al secondo decimale, della somma dei ribassi</w:t>
      </w:r>
      <w:bookmarkStart w:id="4" w:name="_Hlk146556945"/>
      <w:r w:rsidR="00EF4A50" w:rsidRPr="00530029">
        <w:rPr>
          <w:rFonts w:cstheme="minorHAnsi"/>
          <w:sz w:val="24"/>
          <w:szCs w:val="24"/>
        </w:rPr>
        <w:t xml:space="preserve"> è pari, </w:t>
      </w:r>
      <w:r w:rsidRPr="00530029">
        <w:rPr>
          <w:rFonts w:cstheme="minorHAnsi"/>
          <w:sz w:val="24"/>
          <w:szCs w:val="24"/>
        </w:rPr>
        <w:t>l</w:t>
      </w:r>
      <w:r w:rsidR="00B95BCB" w:rsidRPr="00530029">
        <w:rPr>
          <w:rFonts w:cstheme="minorHAnsi"/>
          <w:sz w:val="24"/>
          <w:szCs w:val="24"/>
        </w:rPr>
        <w:t xml:space="preserve">a soglia di anomalia è determinata </w:t>
      </w:r>
      <w:r w:rsidR="00FF218C" w:rsidRPr="00530029">
        <w:rPr>
          <w:rFonts w:cstheme="minorHAnsi"/>
          <w:sz w:val="24"/>
          <w:szCs w:val="24"/>
        </w:rPr>
        <w:t>decrementando lo sconto di riferimento del valore percentuale pari al prodotto delle prime due cifre dopo la virgola della somma dei ribassi applicato allo scarto medio aritmetico</w:t>
      </w:r>
      <w:bookmarkEnd w:id="4"/>
      <w:r w:rsidR="008065B5" w:rsidRPr="00530029">
        <w:rPr>
          <w:rFonts w:cstheme="minorHAnsi"/>
          <w:sz w:val="24"/>
          <w:szCs w:val="24"/>
        </w:rPr>
        <w:t>;</w:t>
      </w:r>
      <w:r w:rsidR="00C35B3C" w:rsidRPr="00530029">
        <w:rPr>
          <w:rFonts w:cstheme="minorHAnsi"/>
          <w:sz w:val="24"/>
          <w:szCs w:val="24"/>
        </w:rPr>
        <w:t xml:space="preserve"> </w:t>
      </w:r>
      <w:bookmarkStart w:id="5" w:name="_Hlk146556791"/>
      <w:r w:rsidR="00F72C1B" w:rsidRPr="00530029">
        <w:rPr>
          <w:rFonts w:cstheme="minorHAnsi"/>
          <w:sz w:val="24"/>
          <w:szCs w:val="24"/>
        </w:rPr>
        <w:t xml:space="preserve">nel caso in cui la somma di tutte le cifre, sia prima che dopo la virgola fino al secondo decimale, della somma dei ribassi sia </w:t>
      </w:r>
      <w:bookmarkEnd w:id="5"/>
      <w:r w:rsidR="008065B5" w:rsidRPr="00530029">
        <w:rPr>
          <w:rFonts w:cstheme="minorHAnsi"/>
          <w:sz w:val="24"/>
          <w:szCs w:val="24"/>
        </w:rPr>
        <w:t>dispari</w:t>
      </w:r>
      <w:r w:rsidR="000152E9" w:rsidRPr="00530029">
        <w:rPr>
          <w:rFonts w:cstheme="minorHAnsi"/>
          <w:sz w:val="24"/>
          <w:szCs w:val="24"/>
        </w:rPr>
        <w:t>;</w:t>
      </w:r>
      <w:r w:rsidR="00942AFE" w:rsidRPr="00530029">
        <w:rPr>
          <w:rFonts w:cstheme="minorHAnsi"/>
          <w:sz w:val="24"/>
          <w:szCs w:val="24"/>
        </w:rPr>
        <w:t xml:space="preserve"> </w:t>
      </w:r>
      <w:r w:rsidR="00260B2D" w:rsidRPr="00530029">
        <w:rPr>
          <w:rFonts w:cstheme="minorHAnsi"/>
          <w:sz w:val="24"/>
          <w:szCs w:val="24"/>
        </w:rPr>
        <w:t>viceversa</w:t>
      </w:r>
      <w:r w:rsidR="00A82209" w:rsidRPr="00530029">
        <w:rPr>
          <w:rFonts w:cstheme="minorHAnsi"/>
          <w:sz w:val="24"/>
          <w:szCs w:val="24"/>
        </w:rPr>
        <w:t>,</w:t>
      </w:r>
      <w:r w:rsidR="00260B2D" w:rsidRPr="00530029">
        <w:rPr>
          <w:rFonts w:cstheme="minorHAnsi"/>
          <w:sz w:val="24"/>
          <w:szCs w:val="24"/>
        </w:rPr>
        <w:t xml:space="preserve"> </w:t>
      </w:r>
      <w:r w:rsidR="00B45E91" w:rsidRPr="00530029">
        <w:rPr>
          <w:rFonts w:cstheme="minorHAnsi"/>
          <w:sz w:val="24"/>
          <w:szCs w:val="24"/>
        </w:rPr>
        <w:t>qualora la somma di tutte le cifre, sia prima che dopo la virgola fino al secondo decimale, della somma dei ribassi sia dispari</w:t>
      </w:r>
      <w:r w:rsidRPr="00530029">
        <w:rPr>
          <w:rFonts w:cstheme="minorHAnsi"/>
          <w:sz w:val="24"/>
          <w:szCs w:val="24"/>
        </w:rPr>
        <w:t>, la soglia di anomalia è determinata incrementando lo sconto di riferimento del valore percentuale pari al prodotto delle prime due cifre dopo la virgola della somma dei ribassi applicato allo scarto medio aritmetico.</w:t>
      </w:r>
    </w:p>
    <w:p w14:paraId="03C43285" w14:textId="77777777" w:rsidR="00820F04" w:rsidRPr="00530029" w:rsidRDefault="00406BDC" w:rsidP="000240B6">
      <w:pPr>
        <w:spacing w:before="120" w:after="120" w:line="276" w:lineRule="auto"/>
        <w:ind w:left="284"/>
        <w:jc w:val="both"/>
        <w:rPr>
          <w:rFonts w:cstheme="minorHAnsi"/>
          <w:sz w:val="24"/>
          <w:szCs w:val="24"/>
        </w:rPr>
      </w:pPr>
      <w:r w:rsidRPr="00530029">
        <w:rPr>
          <w:rFonts w:cstheme="minorHAnsi"/>
          <w:sz w:val="24"/>
          <w:szCs w:val="24"/>
        </w:rPr>
        <w:t>Si prenda ad esempio la distribuzione dei ribassi di cui alla Tabella 1</w:t>
      </w:r>
      <w:r w:rsidR="00BF42EA" w:rsidRPr="00530029">
        <w:rPr>
          <w:rFonts w:cstheme="minorHAnsi"/>
          <w:sz w:val="24"/>
          <w:szCs w:val="24"/>
        </w:rPr>
        <w:t>, essendo</w:t>
      </w:r>
      <w:r w:rsidR="000218A1" w:rsidRPr="00530029">
        <w:rPr>
          <w:rFonts w:cstheme="minorHAnsi"/>
          <w:sz w:val="24"/>
          <w:szCs w:val="24"/>
        </w:rPr>
        <w:t xml:space="preserve"> pari</w:t>
      </w:r>
      <w:r w:rsidR="00BF42EA" w:rsidRPr="00530029">
        <w:rPr>
          <w:rFonts w:cstheme="minorHAnsi"/>
          <w:sz w:val="24"/>
          <w:szCs w:val="24"/>
        </w:rPr>
        <w:t xml:space="preserve"> la somma di tutte le cifre, sia prima che dopo la virgola fino al secondo decimale, della somma dei ribassi </w:t>
      </w:r>
      <w:r w:rsidR="000218A1" w:rsidRPr="00530029">
        <w:rPr>
          <w:rFonts w:cstheme="minorHAnsi"/>
          <w:sz w:val="24"/>
          <w:szCs w:val="24"/>
        </w:rPr>
        <w:t xml:space="preserve">(2 + 1 + 5 + 8 + 8 = 24), </w:t>
      </w:r>
      <w:r w:rsidR="00A82C87" w:rsidRPr="00530029">
        <w:rPr>
          <w:rFonts w:cstheme="minorHAnsi"/>
          <w:sz w:val="24"/>
          <w:szCs w:val="24"/>
        </w:rPr>
        <w:t xml:space="preserve">la soglia di anomalia è determinata decrementando lo sconto di riferimento del valore percentuale pari al prodotto delle prime due cifre dopo la virgola della somma dei ribassi applicato allo scarto medio aritmetico </w:t>
      </w:r>
    </w:p>
    <w:p w14:paraId="33F02870" w14:textId="77777777" w:rsidR="003B7361" w:rsidRPr="00530029" w:rsidRDefault="00AB7E4F" w:rsidP="00530029">
      <w:pPr>
        <w:spacing w:before="120" w:after="120" w:line="276" w:lineRule="auto"/>
        <w:jc w:val="both"/>
        <w:rPr>
          <w:rFonts w:cstheme="minorHAnsi"/>
          <w:sz w:val="24"/>
          <w:szCs w:val="24"/>
        </w:rPr>
      </w:pPr>
      <m:oMathPara>
        <m:oMath>
          <m:r>
            <w:rPr>
              <w:rFonts w:ascii="Cambria Math" w:hAnsi="Cambria Math" w:cstheme="minorHAnsi"/>
              <w:sz w:val="24"/>
              <w:szCs w:val="24"/>
            </w:rPr>
            <m:t>S=D-0,876</m:t>
          </m:r>
        </m:oMath>
      </m:oMathPara>
    </w:p>
    <w:p w14:paraId="51535212" w14:textId="02C25FC5" w:rsidR="00425603" w:rsidRPr="00530029" w:rsidRDefault="00E97A7D" w:rsidP="000240B6">
      <w:pPr>
        <w:spacing w:before="120" w:after="120" w:line="276" w:lineRule="auto"/>
        <w:ind w:left="284"/>
        <w:jc w:val="both"/>
        <w:rPr>
          <w:rFonts w:cstheme="minorHAnsi"/>
          <w:sz w:val="24"/>
          <w:szCs w:val="24"/>
        </w:rPr>
      </w:pPr>
      <w:r w:rsidRPr="00530029">
        <w:rPr>
          <w:rFonts w:cstheme="minorHAnsi"/>
          <w:sz w:val="24"/>
          <w:szCs w:val="24"/>
        </w:rPr>
        <w:t>d</w:t>
      </w:r>
      <w:r w:rsidR="00425603" w:rsidRPr="00530029">
        <w:rPr>
          <w:rFonts w:cstheme="minorHAnsi"/>
          <w:sz w:val="24"/>
          <w:szCs w:val="24"/>
        </w:rPr>
        <w:t>ove</w:t>
      </w:r>
    </w:p>
    <w:p w14:paraId="0713945B" w14:textId="5CF70BD7" w:rsidR="00425603" w:rsidRPr="00530029" w:rsidRDefault="00425603" w:rsidP="000240B6">
      <w:pPr>
        <w:spacing w:before="120" w:after="120" w:line="276" w:lineRule="auto"/>
        <w:ind w:firstLine="284"/>
        <w:jc w:val="both"/>
        <w:rPr>
          <w:rFonts w:eastAsiaTheme="minorEastAsia" w:cstheme="minorHAnsi"/>
          <w:sz w:val="24"/>
          <w:szCs w:val="24"/>
        </w:rPr>
      </w:pPr>
      <m:oMath>
        <m:r>
          <w:rPr>
            <w:rFonts w:ascii="Cambria Math" w:hAnsi="Cambria Math" w:cstheme="minorHAnsi"/>
            <w:sz w:val="24"/>
            <w:szCs w:val="24"/>
          </w:rPr>
          <m:t>S</m:t>
        </m:r>
      </m:oMath>
      <w:r w:rsidRPr="00530029">
        <w:rPr>
          <w:rFonts w:eastAsiaTheme="minorEastAsia" w:cstheme="minorHAnsi"/>
          <w:sz w:val="24"/>
          <w:szCs w:val="24"/>
        </w:rPr>
        <w:t xml:space="preserve"> = soglia di anomalia;</w:t>
      </w:r>
    </w:p>
    <w:p w14:paraId="415523C7" w14:textId="6A5EC270" w:rsidR="00425603" w:rsidRPr="00530029" w:rsidRDefault="00425603" w:rsidP="000240B6">
      <w:pPr>
        <w:spacing w:before="120" w:after="120" w:line="276" w:lineRule="auto"/>
        <w:ind w:firstLine="284"/>
        <w:jc w:val="both"/>
        <w:rPr>
          <w:rFonts w:cstheme="minorHAnsi"/>
          <w:sz w:val="24"/>
          <w:szCs w:val="24"/>
        </w:rPr>
      </w:pPr>
      <m:oMath>
        <m:r>
          <w:rPr>
            <w:rFonts w:ascii="Cambria Math" w:hAnsi="Cambria Math" w:cstheme="minorHAnsi"/>
            <w:sz w:val="24"/>
            <w:szCs w:val="24"/>
          </w:rPr>
          <w:lastRenderedPageBreak/>
          <m:t>D</m:t>
        </m:r>
      </m:oMath>
      <w:r w:rsidR="00076FAC" w:rsidRPr="00530029">
        <w:rPr>
          <w:rFonts w:eastAsiaTheme="minorEastAsia" w:cstheme="minorHAnsi"/>
          <w:sz w:val="24"/>
          <w:szCs w:val="24"/>
        </w:rPr>
        <w:t xml:space="preserve"> </w:t>
      </w:r>
      <w:r w:rsidRPr="00530029">
        <w:rPr>
          <w:rFonts w:eastAsiaTheme="minorEastAsia" w:cstheme="minorHAnsi"/>
          <w:sz w:val="24"/>
          <w:szCs w:val="24"/>
        </w:rPr>
        <w:t>=</w:t>
      </w:r>
      <w:r w:rsidR="00076FAC" w:rsidRPr="00530029">
        <w:rPr>
          <w:rFonts w:eastAsiaTheme="minorEastAsia" w:cstheme="minorHAnsi"/>
          <w:sz w:val="24"/>
          <w:szCs w:val="24"/>
        </w:rPr>
        <w:t xml:space="preserve"> </w:t>
      </w:r>
      <w:r w:rsidR="00E97A7D" w:rsidRPr="00530029">
        <w:rPr>
          <w:rFonts w:eastAsiaTheme="minorEastAsia" w:cstheme="minorHAnsi"/>
          <w:sz w:val="24"/>
          <w:szCs w:val="24"/>
        </w:rPr>
        <w:t>sconto di riferimento</w:t>
      </w:r>
    </w:p>
    <w:p w14:paraId="01227BA7" w14:textId="57BE8B43" w:rsidR="000218A1" w:rsidRPr="00530029" w:rsidRDefault="00425603" w:rsidP="000240B6">
      <w:pPr>
        <w:spacing w:before="120" w:after="120" w:line="276" w:lineRule="auto"/>
        <w:ind w:firstLine="284"/>
        <w:jc w:val="both"/>
        <w:rPr>
          <w:rFonts w:cstheme="minorHAnsi"/>
          <w:sz w:val="24"/>
          <w:szCs w:val="24"/>
        </w:rPr>
      </w:pPr>
      <w:r w:rsidRPr="00530029">
        <w:rPr>
          <w:rFonts w:cstheme="minorHAnsi"/>
          <w:sz w:val="24"/>
          <w:szCs w:val="24"/>
        </w:rPr>
        <w:t xml:space="preserve">0,876 = </w:t>
      </w:r>
      <w:r w:rsidR="00A82C87" w:rsidRPr="00530029">
        <w:rPr>
          <w:rFonts w:cstheme="minorHAnsi"/>
          <w:sz w:val="24"/>
          <w:szCs w:val="24"/>
        </w:rPr>
        <w:t>(1,369 x 64 / 100)</w:t>
      </w:r>
    </w:p>
    <w:p w14:paraId="4D4B2723" w14:textId="1212B24F" w:rsidR="0065242F" w:rsidRPr="00530029" w:rsidRDefault="009258A0" w:rsidP="000240B6">
      <w:pPr>
        <w:spacing w:before="120" w:after="120" w:line="276" w:lineRule="auto"/>
        <w:ind w:left="284"/>
        <w:jc w:val="both"/>
        <w:rPr>
          <w:rFonts w:cstheme="minorHAnsi"/>
          <w:sz w:val="24"/>
          <w:szCs w:val="24"/>
        </w:rPr>
      </w:pPr>
      <w:bookmarkStart w:id="6" w:name="_Hlk146032505"/>
      <w:r w:rsidRPr="00530029">
        <w:rPr>
          <w:rFonts w:cstheme="minorHAnsi"/>
          <w:sz w:val="24"/>
          <w:szCs w:val="24"/>
        </w:rPr>
        <w:t>Tutti gli sconti superiori alla soglia sono automaticamente esclusi</w:t>
      </w:r>
      <w:bookmarkEnd w:id="6"/>
      <w:r w:rsidRPr="00530029">
        <w:rPr>
          <w:rFonts w:cstheme="minorHAnsi"/>
          <w:sz w:val="24"/>
          <w:szCs w:val="24"/>
        </w:rPr>
        <w:t>. Tra le offerte non escluse,</w:t>
      </w:r>
      <w:r w:rsidR="00701147" w:rsidRPr="00530029">
        <w:rPr>
          <w:rFonts w:cstheme="minorHAnsi"/>
          <w:sz w:val="24"/>
          <w:szCs w:val="24"/>
        </w:rPr>
        <w:t xml:space="preserve"> </w:t>
      </w:r>
      <w:r w:rsidRPr="00530029">
        <w:rPr>
          <w:rFonts w:cstheme="minorHAnsi"/>
          <w:sz w:val="24"/>
          <w:szCs w:val="24"/>
        </w:rPr>
        <w:t>incluse quelle inizialmente accantonate</w:t>
      </w:r>
      <w:r w:rsidR="00D758D7" w:rsidRPr="00530029">
        <w:rPr>
          <w:rFonts w:cstheme="minorHAnsi"/>
          <w:sz w:val="24"/>
          <w:szCs w:val="24"/>
        </w:rPr>
        <w:t xml:space="preserve">, </w:t>
      </w:r>
      <w:r w:rsidRPr="00530029">
        <w:rPr>
          <w:rFonts w:cstheme="minorHAnsi"/>
          <w:sz w:val="24"/>
          <w:szCs w:val="24"/>
        </w:rPr>
        <w:t xml:space="preserve">la </w:t>
      </w:r>
      <w:r w:rsidR="00F656C0">
        <w:rPr>
          <w:rFonts w:cstheme="minorHAnsi"/>
          <w:sz w:val="24"/>
          <w:szCs w:val="24"/>
        </w:rPr>
        <w:t>S</w:t>
      </w:r>
      <w:r w:rsidRPr="00530029">
        <w:rPr>
          <w:rFonts w:cstheme="minorHAnsi"/>
          <w:sz w:val="24"/>
          <w:szCs w:val="24"/>
        </w:rPr>
        <w:t xml:space="preserve">tazione </w:t>
      </w:r>
      <w:r w:rsidR="00F656C0">
        <w:rPr>
          <w:rFonts w:cstheme="minorHAnsi"/>
          <w:sz w:val="24"/>
          <w:szCs w:val="24"/>
        </w:rPr>
        <w:t>A</w:t>
      </w:r>
      <w:r w:rsidR="00F656C0" w:rsidRPr="00530029">
        <w:rPr>
          <w:rFonts w:cstheme="minorHAnsi"/>
          <w:sz w:val="24"/>
          <w:szCs w:val="24"/>
        </w:rPr>
        <w:t xml:space="preserve">ppaltante </w:t>
      </w:r>
      <w:r w:rsidRPr="00530029">
        <w:rPr>
          <w:rFonts w:cstheme="minorHAnsi"/>
          <w:sz w:val="24"/>
          <w:szCs w:val="24"/>
        </w:rPr>
        <w:t>individua come vincitrice quella</w:t>
      </w:r>
      <w:r w:rsidR="00701147" w:rsidRPr="00530029">
        <w:rPr>
          <w:rFonts w:cstheme="minorHAnsi"/>
          <w:sz w:val="24"/>
          <w:szCs w:val="24"/>
        </w:rPr>
        <w:t xml:space="preserve"> </w:t>
      </w:r>
      <w:r w:rsidRPr="00530029">
        <w:rPr>
          <w:rFonts w:cstheme="minorHAnsi"/>
          <w:sz w:val="24"/>
          <w:szCs w:val="24"/>
        </w:rPr>
        <w:t>con lo sconto maggiore.  Lo sconto di aggiudicazione corrisposto</w:t>
      </w:r>
      <w:r w:rsidR="00701147" w:rsidRPr="00530029">
        <w:rPr>
          <w:rFonts w:cstheme="minorHAnsi"/>
          <w:sz w:val="24"/>
          <w:szCs w:val="24"/>
        </w:rPr>
        <w:t xml:space="preserve"> </w:t>
      </w:r>
      <w:r w:rsidRPr="00530029">
        <w:rPr>
          <w:rFonts w:cstheme="minorHAnsi"/>
          <w:sz w:val="24"/>
          <w:szCs w:val="24"/>
        </w:rPr>
        <w:t xml:space="preserve">all'impresa aggiudicataria </w:t>
      </w:r>
      <w:r w:rsidR="009E5FF2" w:rsidRPr="00530029">
        <w:rPr>
          <w:rFonts w:cstheme="minorHAnsi"/>
          <w:sz w:val="24"/>
          <w:szCs w:val="24"/>
        </w:rPr>
        <w:t>è</w:t>
      </w:r>
      <w:r w:rsidRPr="00530029">
        <w:rPr>
          <w:rFonts w:cstheme="minorHAnsi"/>
          <w:sz w:val="24"/>
          <w:szCs w:val="24"/>
        </w:rPr>
        <w:t xml:space="preserve"> quello che questa stessa impresa ha</w:t>
      </w:r>
      <w:r w:rsidR="00701147" w:rsidRPr="00530029">
        <w:rPr>
          <w:rFonts w:cstheme="minorHAnsi"/>
          <w:sz w:val="24"/>
          <w:szCs w:val="24"/>
        </w:rPr>
        <w:t xml:space="preserve"> </w:t>
      </w:r>
      <w:r w:rsidRPr="00530029">
        <w:rPr>
          <w:rFonts w:cstheme="minorHAnsi"/>
          <w:sz w:val="24"/>
          <w:szCs w:val="24"/>
        </w:rPr>
        <w:t>presentato. In caso di pareggio tra le offerte di maggior ribasso, il</w:t>
      </w:r>
      <w:r w:rsidR="00701147" w:rsidRPr="00530029">
        <w:rPr>
          <w:rFonts w:cstheme="minorHAnsi"/>
          <w:sz w:val="24"/>
          <w:szCs w:val="24"/>
        </w:rPr>
        <w:t xml:space="preserve"> </w:t>
      </w:r>
      <w:r w:rsidRPr="00530029">
        <w:rPr>
          <w:rFonts w:cstheme="minorHAnsi"/>
          <w:sz w:val="24"/>
          <w:szCs w:val="24"/>
        </w:rPr>
        <w:t xml:space="preserve">vincitore </w:t>
      </w:r>
      <w:r w:rsidR="009E5FF2" w:rsidRPr="00530029">
        <w:rPr>
          <w:rFonts w:cstheme="minorHAnsi"/>
          <w:sz w:val="24"/>
          <w:szCs w:val="24"/>
        </w:rPr>
        <w:t>è</w:t>
      </w:r>
      <w:r w:rsidRPr="00530029">
        <w:rPr>
          <w:rFonts w:cstheme="minorHAnsi"/>
          <w:sz w:val="24"/>
          <w:szCs w:val="24"/>
        </w:rPr>
        <w:t xml:space="preserve"> deciso con un sorteggio. Se tutte le offerte presentate</w:t>
      </w:r>
      <w:r w:rsidR="00701147" w:rsidRPr="00530029">
        <w:rPr>
          <w:rFonts w:cstheme="minorHAnsi"/>
          <w:sz w:val="24"/>
          <w:szCs w:val="24"/>
        </w:rPr>
        <w:t xml:space="preserve"> </w:t>
      </w:r>
      <w:r w:rsidRPr="00530029">
        <w:rPr>
          <w:rFonts w:cstheme="minorHAnsi"/>
          <w:sz w:val="24"/>
          <w:szCs w:val="24"/>
        </w:rPr>
        <w:t xml:space="preserve">sono anomale, la </w:t>
      </w:r>
      <w:r w:rsidR="00F656C0">
        <w:rPr>
          <w:rFonts w:cstheme="minorHAnsi"/>
          <w:sz w:val="24"/>
          <w:szCs w:val="24"/>
        </w:rPr>
        <w:t>S</w:t>
      </w:r>
      <w:r w:rsidRPr="00530029">
        <w:rPr>
          <w:rFonts w:cstheme="minorHAnsi"/>
          <w:sz w:val="24"/>
          <w:szCs w:val="24"/>
        </w:rPr>
        <w:t xml:space="preserve">tazione </w:t>
      </w:r>
      <w:r w:rsidR="00F656C0">
        <w:rPr>
          <w:rFonts w:cstheme="minorHAnsi"/>
          <w:sz w:val="24"/>
          <w:szCs w:val="24"/>
        </w:rPr>
        <w:t>A</w:t>
      </w:r>
      <w:r w:rsidR="00F656C0" w:rsidRPr="00530029">
        <w:rPr>
          <w:rFonts w:cstheme="minorHAnsi"/>
          <w:sz w:val="24"/>
          <w:szCs w:val="24"/>
        </w:rPr>
        <w:t xml:space="preserve">ppaltante </w:t>
      </w:r>
      <w:r w:rsidRPr="00530029">
        <w:rPr>
          <w:rFonts w:cstheme="minorHAnsi"/>
          <w:sz w:val="24"/>
          <w:szCs w:val="24"/>
        </w:rPr>
        <w:t>valuta l'effettiva anomalia in</w:t>
      </w:r>
      <w:r w:rsidR="009A2E42" w:rsidRPr="00530029">
        <w:rPr>
          <w:rFonts w:cstheme="minorHAnsi"/>
          <w:sz w:val="24"/>
          <w:szCs w:val="24"/>
        </w:rPr>
        <w:t xml:space="preserve"> </w:t>
      </w:r>
      <w:r w:rsidRPr="00530029">
        <w:rPr>
          <w:rFonts w:cstheme="minorHAnsi"/>
          <w:sz w:val="24"/>
          <w:szCs w:val="24"/>
        </w:rPr>
        <w:t>contraddittorio.</w:t>
      </w:r>
    </w:p>
    <w:p w14:paraId="5EA3680F" w14:textId="724F3F7D" w:rsidR="001A7839" w:rsidRPr="000240B6" w:rsidRDefault="004735F4" w:rsidP="000240B6">
      <w:pPr>
        <w:pStyle w:val="Paragrafoelenco"/>
        <w:spacing w:before="120" w:after="120" w:line="276" w:lineRule="auto"/>
        <w:ind w:left="284" w:hanging="568"/>
        <w:jc w:val="both"/>
        <w:rPr>
          <w:rFonts w:cstheme="minorHAnsi"/>
          <w:i/>
          <w:iCs/>
          <w:sz w:val="24"/>
          <w:szCs w:val="24"/>
          <w:u w:val="single"/>
        </w:rPr>
      </w:pPr>
      <w:r w:rsidRPr="000240B6">
        <w:rPr>
          <w:rFonts w:cstheme="minorHAnsi"/>
          <w:i/>
          <w:iCs/>
          <w:sz w:val="24"/>
          <w:szCs w:val="24"/>
        </w:rPr>
        <w:t>A.2</w:t>
      </w:r>
      <w:r w:rsidR="00BB1231">
        <w:rPr>
          <w:rFonts w:cstheme="minorHAnsi"/>
          <w:i/>
          <w:iCs/>
          <w:sz w:val="24"/>
          <w:szCs w:val="24"/>
        </w:rPr>
        <w:tab/>
      </w:r>
      <w:r w:rsidR="00FD1E3C" w:rsidRPr="000240B6">
        <w:rPr>
          <w:rFonts w:cstheme="minorHAnsi"/>
          <w:i/>
          <w:iCs/>
          <w:sz w:val="24"/>
          <w:szCs w:val="24"/>
          <w:u w:val="single"/>
        </w:rPr>
        <w:t xml:space="preserve">CONTRATTI </w:t>
      </w:r>
      <w:r w:rsidR="004B3D4C" w:rsidRPr="000240B6">
        <w:rPr>
          <w:rFonts w:cstheme="minorHAnsi"/>
          <w:i/>
          <w:iCs/>
          <w:sz w:val="24"/>
          <w:szCs w:val="24"/>
          <w:u w:val="single"/>
        </w:rPr>
        <w:t>SOPRA-SOGLIA</w:t>
      </w:r>
    </w:p>
    <w:p w14:paraId="2FCA7F32" w14:textId="70787532" w:rsidR="001F1262" w:rsidRPr="00530029" w:rsidRDefault="001D2954" w:rsidP="000240B6">
      <w:pPr>
        <w:spacing w:before="120" w:after="120" w:line="276" w:lineRule="auto"/>
        <w:ind w:left="284"/>
        <w:jc w:val="both"/>
        <w:rPr>
          <w:rFonts w:cstheme="minorHAnsi"/>
          <w:sz w:val="24"/>
          <w:szCs w:val="24"/>
        </w:rPr>
      </w:pPr>
      <w:r w:rsidRPr="00530029">
        <w:rPr>
          <w:rFonts w:cstheme="minorHAnsi"/>
          <w:sz w:val="24"/>
          <w:szCs w:val="24"/>
        </w:rPr>
        <w:t xml:space="preserve">Quando il </w:t>
      </w:r>
      <w:r w:rsidRPr="00530029">
        <w:rPr>
          <w:rFonts w:cstheme="minorHAnsi"/>
          <w:b/>
          <w:bCs/>
          <w:sz w:val="24"/>
          <w:szCs w:val="24"/>
        </w:rPr>
        <w:t>criterio di aggiudicazione è quello del prezzo più basso</w:t>
      </w:r>
      <w:r w:rsidR="008D4819" w:rsidRPr="00530029">
        <w:rPr>
          <w:rFonts w:cstheme="minorHAnsi"/>
          <w:sz w:val="24"/>
          <w:szCs w:val="24"/>
        </w:rPr>
        <w:t>, l</w:t>
      </w:r>
      <w:r w:rsidR="00D7556A" w:rsidRPr="00530029">
        <w:rPr>
          <w:rFonts w:cstheme="minorHAnsi"/>
          <w:sz w:val="24"/>
          <w:szCs w:val="24"/>
        </w:rPr>
        <w:t xml:space="preserve">e </w:t>
      </w:r>
      <w:r w:rsidR="004735F4">
        <w:rPr>
          <w:rFonts w:cstheme="minorHAnsi"/>
          <w:sz w:val="24"/>
          <w:szCs w:val="24"/>
        </w:rPr>
        <w:t>S</w:t>
      </w:r>
      <w:r w:rsidR="004735F4" w:rsidRPr="00530029">
        <w:rPr>
          <w:rFonts w:cstheme="minorHAnsi"/>
          <w:sz w:val="24"/>
          <w:szCs w:val="24"/>
        </w:rPr>
        <w:t xml:space="preserve">tazioni </w:t>
      </w:r>
      <w:r w:rsidR="004735F4">
        <w:rPr>
          <w:rFonts w:cstheme="minorHAnsi"/>
          <w:sz w:val="24"/>
          <w:szCs w:val="24"/>
        </w:rPr>
        <w:t>A</w:t>
      </w:r>
      <w:r w:rsidR="004735F4" w:rsidRPr="00530029">
        <w:rPr>
          <w:rFonts w:cstheme="minorHAnsi"/>
          <w:sz w:val="24"/>
          <w:szCs w:val="24"/>
        </w:rPr>
        <w:t>ppaltanti</w:t>
      </w:r>
      <w:r w:rsidR="000B7F0B" w:rsidRPr="00530029">
        <w:rPr>
          <w:rFonts w:cstheme="minorHAnsi"/>
          <w:sz w:val="24"/>
          <w:szCs w:val="24"/>
        </w:rPr>
        <w:t xml:space="preserve">, nella discrezionalità loro concessa, </w:t>
      </w:r>
      <w:r w:rsidR="00D02937" w:rsidRPr="00530029">
        <w:rPr>
          <w:rFonts w:cstheme="minorHAnsi"/>
          <w:b/>
          <w:bCs/>
          <w:sz w:val="24"/>
          <w:szCs w:val="24"/>
        </w:rPr>
        <w:t xml:space="preserve">potranno </w:t>
      </w:r>
      <w:r w:rsidR="00A0795E" w:rsidRPr="00530029">
        <w:rPr>
          <w:rFonts w:cstheme="minorHAnsi"/>
          <w:b/>
          <w:bCs/>
          <w:sz w:val="24"/>
          <w:szCs w:val="24"/>
        </w:rPr>
        <w:t>valutare la congruità</w:t>
      </w:r>
      <w:r w:rsidR="00447148" w:rsidRPr="00530029">
        <w:rPr>
          <w:rFonts w:cstheme="minorHAnsi"/>
          <w:b/>
          <w:bCs/>
          <w:sz w:val="24"/>
          <w:szCs w:val="24"/>
        </w:rPr>
        <w:t xml:space="preserve"> delle offerte</w:t>
      </w:r>
      <w:r w:rsidR="00723E0E" w:rsidRPr="00530029">
        <w:rPr>
          <w:rFonts w:cstheme="minorHAnsi"/>
          <w:b/>
          <w:bCs/>
          <w:sz w:val="24"/>
          <w:szCs w:val="24"/>
        </w:rPr>
        <w:t xml:space="preserve"> che risultino anomale</w:t>
      </w:r>
      <w:r w:rsidR="00044084" w:rsidRPr="00530029">
        <w:rPr>
          <w:rFonts w:cstheme="minorHAnsi"/>
          <w:b/>
          <w:bCs/>
          <w:sz w:val="24"/>
          <w:szCs w:val="24"/>
        </w:rPr>
        <w:t xml:space="preserve"> </w:t>
      </w:r>
      <w:r w:rsidRPr="00530029">
        <w:rPr>
          <w:rFonts w:cstheme="minorHAnsi"/>
          <w:b/>
          <w:bCs/>
          <w:sz w:val="24"/>
          <w:szCs w:val="24"/>
        </w:rPr>
        <w:t xml:space="preserve">secondo i criteri </w:t>
      </w:r>
      <w:r w:rsidR="00010D78" w:rsidRPr="00530029">
        <w:rPr>
          <w:rFonts w:cstheme="minorHAnsi"/>
          <w:b/>
          <w:bCs/>
          <w:sz w:val="24"/>
          <w:szCs w:val="24"/>
        </w:rPr>
        <w:t xml:space="preserve">alternativi </w:t>
      </w:r>
      <w:r w:rsidRPr="00530029">
        <w:rPr>
          <w:rFonts w:cstheme="minorHAnsi"/>
          <w:b/>
          <w:bCs/>
          <w:sz w:val="24"/>
          <w:szCs w:val="24"/>
        </w:rPr>
        <w:t>definiti da</w:t>
      </w:r>
      <w:r w:rsidR="00E47E18" w:rsidRPr="00530029">
        <w:rPr>
          <w:rFonts w:cstheme="minorHAnsi"/>
          <w:b/>
          <w:bCs/>
          <w:sz w:val="24"/>
          <w:szCs w:val="24"/>
        </w:rPr>
        <w:t>i metodi A, B e C</w:t>
      </w:r>
      <w:r w:rsidR="00011807" w:rsidRPr="00530029">
        <w:rPr>
          <w:rFonts w:cstheme="minorHAnsi"/>
          <w:sz w:val="24"/>
          <w:szCs w:val="24"/>
        </w:rPr>
        <w:t xml:space="preserve"> dell’</w:t>
      </w:r>
      <w:r w:rsidR="00A32D2C">
        <w:rPr>
          <w:rFonts w:cstheme="minorHAnsi"/>
          <w:sz w:val="24"/>
          <w:szCs w:val="24"/>
        </w:rPr>
        <w:t>A</w:t>
      </w:r>
      <w:r w:rsidR="00011807" w:rsidRPr="00530029">
        <w:rPr>
          <w:rFonts w:cstheme="minorHAnsi"/>
          <w:sz w:val="24"/>
          <w:szCs w:val="24"/>
        </w:rPr>
        <w:t>llegato II.2 al Codice</w:t>
      </w:r>
      <w:r w:rsidR="00790013" w:rsidRPr="00530029">
        <w:rPr>
          <w:rFonts w:cstheme="minorHAnsi"/>
          <w:sz w:val="24"/>
          <w:szCs w:val="24"/>
        </w:rPr>
        <w:t xml:space="preserve"> ovvero</w:t>
      </w:r>
      <w:r w:rsidR="008611C7" w:rsidRPr="00530029">
        <w:rPr>
          <w:rFonts w:cstheme="minorHAnsi"/>
          <w:sz w:val="24"/>
          <w:szCs w:val="24"/>
        </w:rPr>
        <w:t xml:space="preserve"> in relazione</w:t>
      </w:r>
      <w:r w:rsidR="00C53F02" w:rsidRPr="00530029">
        <w:rPr>
          <w:rFonts w:cstheme="minorHAnsi"/>
          <w:sz w:val="24"/>
          <w:szCs w:val="24"/>
        </w:rPr>
        <w:t xml:space="preserve"> </w:t>
      </w:r>
      <w:r w:rsidR="008611C7" w:rsidRPr="00530029">
        <w:rPr>
          <w:rFonts w:cstheme="minorHAnsi"/>
          <w:sz w:val="24"/>
          <w:szCs w:val="24"/>
        </w:rPr>
        <w:t>a</w:t>
      </w:r>
      <w:r w:rsidR="00C53F02" w:rsidRPr="00530029">
        <w:rPr>
          <w:rFonts w:cstheme="minorHAnsi"/>
          <w:sz w:val="24"/>
          <w:szCs w:val="24"/>
        </w:rPr>
        <w:t xml:space="preserve">i diversi e nuovi criteri o parametri individuati </w:t>
      </w:r>
      <w:r w:rsidR="000066A4" w:rsidRPr="00530029">
        <w:rPr>
          <w:rFonts w:cstheme="minorHAnsi"/>
          <w:sz w:val="24"/>
          <w:szCs w:val="24"/>
        </w:rPr>
        <w:t xml:space="preserve">dalle </w:t>
      </w:r>
      <w:r w:rsidR="004735F4">
        <w:rPr>
          <w:rFonts w:cstheme="minorHAnsi"/>
          <w:sz w:val="24"/>
          <w:szCs w:val="24"/>
        </w:rPr>
        <w:t>S</w:t>
      </w:r>
      <w:r w:rsidR="000066A4" w:rsidRPr="00530029">
        <w:rPr>
          <w:rFonts w:cstheme="minorHAnsi"/>
          <w:sz w:val="24"/>
          <w:szCs w:val="24"/>
        </w:rPr>
        <w:t xml:space="preserve">tazioni </w:t>
      </w:r>
      <w:r w:rsidR="004735F4">
        <w:rPr>
          <w:rFonts w:cstheme="minorHAnsi"/>
          <w:sz w:val="24"/>
          <w:szCs w:val="24"/>
        </w:rPr>
        <w:t>A</w:t>
      </w:r>
      <w:r w:rsidR="004735F4" w:rsidRPr="00530029">
        <w:rPr>
          <w:rFonts w:cstheme="minorHAnsi"/>
          <w:sz w:val="24"/>
          <w:szCs w:val="24"/>
        </w:rPr>
        <w:t xml:space="preserve">ppaltanti </w:t>
      </w:r>
      <w:r w:rsidR="000066A4" w:rsidRPr="00530029">
        <w:rPr>
          <w:rFonts w:cstheme="minorHAnsi"/>
          <w:sz w:val="24"/>
          <w:szCs w:val="24"/>
        </w:rPr>
        <w:t>stesse</w:t>
      </w:r>
      <w:r w:rsidR="008E3BB9" w:rsidRPr="00530029">
        <w:rPr>
          <w:rFonts w:cstheme="minorHAnsi"/>
          <w:sz w:val="24"/>
          <w:szCs w:val="24"/>
        </w:rPr>
        <w:t>.</w:t>
      </w:r>
    </w:p>
    <w:p w14:paraId="37776DC0" w14:textId="77777777" w:rsidR="002B4969" w:rsidRPr="00530029" w:rsidRDefault="002B4969" w:rsidP="00530029">
      <w:pPr>
        <w:spacing w:before="120" w:after="120" w:line="276" w:lineRule="auto"/>
        <w:jc w:val="both"/>
        <w:rPr>
          <w:rFonts w:cstheme="minorHAnsi"/>
          <w:sz w:val="24"/>
          <w:szCs w:val="24"/>
          <w:highlight w:val="yellow"/>
        </w:rPr>
      </w:pPr>
    </w:p>
    <w:p w14:paraId="2FDDC444" w14:textId="5D5A5DDB" w:rsidR="002B4969" w:rsidRPr="00530029" w:rsidRDefault="002B4969" w:rsidP="00530029">
      <w:pPr>
        <w:pStyle w:val="Paragrafoelenco"/>
        <w:numPr>
          <w:ilvl w:val="0"/>
          <w:numId w:val="17"/>
        </w:numPr>
        <w:spacing w:before="120" w:after="120" w:line="276" w:lineRule="auto"/>
        <w:ind w:left="0" w:hanging="426"/>
        <w:jc w:val="both"/>
        <w:rPr>
          <w:rFonts w:cstheme="minorHAnsi"/>
          <w:b/>
          <w:bCs/>
          <w:sz w:val="24"/>
          <w:szCs w:val="24"/>
        </w:rPr>
      </w:pPr>
      <w:r w:rsidRPr="00530029">
        <w:rPr>
          <w:rFonts w:cstheme="minorHAnsi"/>
          <w:b/>
          <w:bCs/>
          <w:sz w:val="24"/>
          <w:szCs w:val="24"/>
        </w:rPr>
        <w:t>CRITERIO DELL’OFFERTA ECONOMICAMENTE PIU VANTAGGIOSA</w:t>
      </w:r>
    </w:p>
    <w:p w14:paraId="568E1170" w14:textId="33D4694E" w:rsidR="002239A9" w:rsidRPr="00530029" w:rsidRDefault="002239A9" w:rsidP="00530029">
      <w:pPr>
        <w:spacing w:before="120" w:after="120" w:line="276" w:lineRule="auto"/>
        <w:jc w:val="both"/>
        <w:rPr>
          <w:rFonts w:cstheme="minorHAnsi"/>
          <w:sz w:val="24"/>
          <w:szCs w:val="24"/>
        </w:rPr>
      </w:pPr>
      <w:r w:rsidRPr="00530029">
        <w:rPr>
          <w:rFonts w:cstheme="minorHAnsi"/>
          <w:sz w:val="24"/>
          <w:szCs w:val="24"/>
        </w:rPr>
        <w:t xml:space="preserve">Le </w:t>
      </w:r>
      <w:r w:rsidR="00F656C0">
        <w:rPr>
          <w:rFonts w:cstheme="minorHAnsi"/>
          <w:sz w:val="24"/>
          <w:szCs w:val="24"/>
        </w:rPr>
        <w:t>S</w:t>
      </w:r>
      <w:r w:rsidR="00F656C0" w:rsidRPr="00530029">
        <w:rPr>
          <w:rFonts w:cstheme="minorHAnsi"/>
          <w:sz w:val="24"/>
          <w:szCs w:val="24"/>
        </w:rPr>
        <w:t xml:space="preserve">tazioni </w:t>
      </w:r>
      <w:r w:rsidR="00F656C0">
        <w:rPr>
          <w:rFonts w:cstheme="minorHAnsi"/>
          <w:sz w:val="24"/>
          <w:szCs w:val="24"/>
        </w:rPr>
        <w:t>A</w:t>
      </w:r>
      <w:r w:rsidR="00F656C0" w:rsidRPr="00530029">
        <w:rPr>
          <w:rFonts w:cstheme="minorHAnsi"/>
          <w:sz w:val="24"/>
          <w:szCs w:val="24"/>
        </w:rPr>
        <w:t xml:space="preserve">ppaltanti </w:t>
      </w:r>
      <w:r w:rsidRPr="00530029">
        <w:rPr>
          <w:rFonts w:cstheme="minorHAnsi"/>
          <w:sz w:val="24"/>
          <w:szCs w:val="24"/>
        </w:rPr>
        <w:t>valutano la congruità, la serietà, la sostenibilità e la realizzabilità della migliore offerta, che in base a elementi specifici, inclusi i costi della manodopera e gli oneri aziendali per l’adempimento delle disposizioni in materia di salute e sicurezza sui luoghi di lavoro, appaia anormalmente bassa. Il bando o l’avviso indicano gli elementi specifici ai fini della valutazione.</w:t>
      </w:r>
    </w:p>
    <w:p w14:paraId="6A04B638" w14:textId="28B84204" w:rsidR="00C85C57" w:rsidRPr="00530029" w:rsidRDefault="00C85C57" w:rsidP="00530029">
      <w:pPr>
        <w:spacing w:before="120" w:after="120" w:line="276" w:lineRule="auto"/>
        <w:jc w:val="both"/>
        <w:rPr>
          <w:rFonts w:cstheme="minorHAnsi"/>
          <w:sz w:val="24"/>
          <w:szCs w:val="24"/>
        </w:rPr>
      </w:pPr>
      <w:r w:rsidRPr="00530029">
        <w:rPr>
          <w:rFonts w:cstheme="minorHAnsi"/>
          <w:sz w:val="24"/>
          <w:szCs w:val="24"/>
        </w:rPr>
        <w:t xml:space="preserve">Le </w:t>
      </w:r>
      <w:r w:rsidR="00F656C0">
        <w:rPr>
          <w:rFonts w:cstheme="minorHAnsi"/>
          <w:sz w:val="24"/>
          <w:szCs w:val="24"/>
        </w:rPr>
        <w:t>S</w:t>
      </w:r>
      <w:r w:rsidR="00F656C0" w:rsidRPr="00530029">
        <w:rPr>
          <w:rFonts w:cstheme="minorHAnsi"/>
          <w:sz w:val="24"/>
          <w:szCs w:val="24"/>
        </w:rPr>
        <w:t xml:space="preserve">tazioni </w:t>
      </w:r>
      <w:r w:rsidR="00F656C0">
        <w:rPr>
          <w:rFonts w:cstheme="minorHAnsi"/>
          <w:sz w:val="24"/>
          <w:szCs w:val="24"/>
        </w:rPr>
        <w:t>A</w:t>
      </w:r>
      <w:r w:rsidR="00F656C0" w:rsidRPr="00530029">
        <w:rPr>
          <w:rFonts w:cstheme="minorHAnsi"/>
          <w:sz w:val="24"/>
          <w:szCs w:val="24"/>
        </w:rPr>
        <w:t>ppaltanti</w:t>
      </w:r>
      <w:r w:rsidRPr="00530029">
        <w:rPr>
          <w:rFonts w:cstheme="minorHAnsi"/>
          <w:sz w:val="24"/>
          <w:szCs w:val="24"/>
        </w:rPr>
        <w:t xml:space="preserve">, nella discrezionalità loro concessa, potranno comunque utilizzare, nei limiti della compatibilità alle disposizioni del Codice, i criteri previsti dal </w:t>
      </w:r>
      <w:r w:rsidR="00A32D2C">
        <w:rPr>
          <w:rFonts w:cstheme="minorHAnsi"/>
          <w:sz w:val="24"/>
          <w:szCs w:val="24"/>
        </w:rPr>
        <w:t>D</w:t>
      </w:r>
      <w:r w:rsidRPr="00530029">
        <w:rPr>
          <w:rFonts w:cstheme="minorHAnsi"/>
          <w:sz w:val="24"/>
          <w:szCs w:val="24"/>
        </w:rPr>
        <w:t>.</w:t>
      </w:r>
      <w:r w:rsidR="00A32D2C">
        <w:rPr>
          <w:rFonts w:cstheme="minorHAnsi"/>
          <w:sz w:val="24"/>
          <w:szCs w:val="24"/>
        </w:rPr>
        <w:t>L</w:t>
      </w:r>
      <w:r w:rsidRPr="00530029">
        <w:rPr>
          <w:rFonts w:cstheme="minorHAnsi"/>
          <w:sz w:val="24"/>
          <w:szCs w:val="24"/>
        </w:rPr>
        <w:t xml:space="preserve">gs. 50/2016 e s.m.i. </w:t>
      </w:r>
      <w:r w:rsidR="00AF115F" w:rsidRPr="00530029">
        <w:rPr>
          <w:rFonts w:cstheme="minorHAnsi"/>
          <w:sz w:val="24"/>
          <w:szCs w:val="24"/>
        </w:rPr>
        <w:t>o</w:t>
      </w:r>
      <w:r w:rsidRPr="00530029">
        <w:rPr>
          <w:rFonts w:cstheme="minorHAnsi"/>
          <w:sz w:val="24"/>
          <w:szCs w:val="24"/>
        </w:rPr>
        <w:t xml:space="preserve"> i diversi e nuovi criteri o parametri individuati dalle stesse </w:t>
      </w:r>
      <w:r w:rsidR="00F656C0">
        <w:rPr>
          <w:rFonts w:cstheme="minorHAnsi"/>
          <w:sz w:val="24"/>
          <w:szCs w:val="24"/>
        </w:rPr>
        <w:t>S</w:t>
      </w:r>
      <w:r w:rsidR="00F656C0" w:rsidRPr="00530029">
        <w:rPr>
          <w:rFonts w:cstheme="minorHAnsi"/>
          <w:sz w:val="24"/>
          <w:szCs w:val="24"/>
        </w:rPr>
        <w:t xml:space="preserve">tazioni </w:t>
      </w:r>
      <w:r w:rsidR="00F656C0">
        <w:rPr>
          <w:rFonts w:cstheme="minorHAnsi"/>
          <w:sz w:val="24"/>
          <w:szCs w:val="24"/>
        </w:rPr>
        <w:t>A</w:t>
      </w:r>
      <w:r w:rsidR="00F656C0" w:rsidRPr="00530029">
        <w:rPr>
          <w:rFonts w:cstheme="minorHAnsi"/>
          <w:sz w:val="24"/>
          <w:szCs w:val="24"/>
        </w:rPr>
        <w:t>ppaltanti</w:t>
      </w:r>
      <w:r w:rsidRPr="00530029">
        <w:rPr>
          <w:rFonts w:cstheme="minorHAnsi"/>
          <w:sz w:val="24"/>
          <w:szCs w:val="24"/>
        </w:rPr>
        <w:t>.</w:t>
      </w:r>
    </w:p>
    <w:p w14:paraId="7168E7C8" w14:textId="01BC479E" w:rsidR="005657B3" w:rsidRPr="00530029" w:rsidRDefault="00C90AEC" w:rsidP="00530029">
      <w:pPr>
        <w:spacing w:before="120" w:after="120" w:line="276" w:lineRule="auto"/>
        <w:jc w:val="both"/>
        <w:rPr>
          <w:rFonts w:cstheme="minorHAnsi"/>
          <w:sz w:val="24"/>
          <w:szCs w:val="24"/>
        </w:rPr>
      </w:pPr>
      <w:r w:rsidRPr="00530029">
        <w:rPr>
          <w:rFonts w:cstheme="minorHAnsi"/>
          <w:sz w:val="24"/>
          <w:szCs w:val="24"/>
        </w:rPr>
        <w:t>Q</w:t>
      </w:r>
      <w:r w:rsidR="00A67900" w:rsidRPr="00530029">
        <w:rPr>
          <w:rFonts w:cstheme="minorHAnsi"/>
          <w:sz w:val="24"/>
          <w:szCs w:val="24"/>
        </w:rPr>
        <w:t xml:space="preserve">uando </w:t>
      </w:r>
      <w:r w:rsidR="007A0C60" w:rsidRPr="00530029">
        <w:rPr>
          <w:rFonts w:cstheme="minorHAnsi"/>
          <w:sz w:val="24"/>
          <w:szCs w:val="24"/>
        </w:rPr>
        <w:t>il criterio di aggiudicazione è quello dell'offerta economicamente più vantaggiosa</w:t>
      </w:r>
      <w:r w:rsidR="00A0795E" w:rsidRPr="00530029">
        <w:rPr>
          <w:rFonts w:cstheme="minorHAnsi"/>
          <w:sz w:val="24"/>
          <w:szCs w:val="24"/>
        </w:rPr>
        <w:t xml:space="preserve"> ed</w:t>
      </w:r>
      <w:r w:rsidR="00DD2D03" w:rsidRPr="00530029">
        <w:rPr>
          <w:rFonts w:cstheme="minorHAnsi"/>
          <w:sz w:val="24"/>
          <w:szCs w:val="24"/>
        </w:rPr>
        <w:t xml:space="preserve"> il numero delle offerte ammesse sia pari o superiore a tre, </w:t>
      </w:r>
      <w:r w:rsidR="00A308CA" w:rsidRPr="00530029">
        <w:rPr>
          <w:rFonts w:cstheme="minorHAnsi"/>
          <w:sz w:val="24"/>
          <w:szCs w:val="24"/>
        </w:rPr>
        <w:t xml:space="preserve">le </w:t>
      </w:r>
      <w:r w:rsidR="00F656C0">
        <w:rPr>
          <w:rFonts w:cstheme="minorHAnsi"/>
          <w:sz w:val="24"/>
          <w:szCs w:val="24"/>
        </w:rPr>
        <w:t>S</w:t>
      </w:r>
      <w:r w:rsidR="00F656C0" w:rsidRPr="00530029">
        <w:rPr>
          <w:rFonts w:cstheme="minorHAnsi"/>
          <w:sz w:val="24"/>
          <w:szCs w:val="24"/>
        </w:rPr>
        <w:t xml:space="preserve">tazioni </w:t>
      </w:r>
      <w:r w:rsidR="00F656C0">
        <w:rPr>
          <w:rFonts w:cstheme="minorHAnsi"/>
          <w:sz w:val="24"/>
          <w:szCs w:val="24"/>
        </w:rPr>
        <w:t>A</w:t>
      </w:r>
      <w:r w:rsidR="00F656C0" w:rsidRPr="00530029">
        <w:rPr>
          <w:rFonts w:cstheme="minorHAnsi"/>
          <w:sz w:val="24"/>
          <w:szCs w:val="24"/>
        </w:rPr>
        <w:t>ppaltanti</w:t>
      </w:r>
      <w:r w:rsidR="002239A9" w:rsidRPr="00530029">
        <w:rPr>
          <w:rFonts w:cstheme="minorHAnsi"/>
          <w:sz w:val="24"/>
          <w:szCs w:val="24"/>
        </w:rPr>
        <w:t>,</w:t>
      </w:r>
      <w:r w:rsidR="00A308CA" w:rsidRPr="00530029">
        <w:rPr>
          <w:rFonts w:cstheme="minorHAnsi"/>
          <w:sz w:val="24"/>
          <w:szCs w:val="24"/>
        </w:rPr>
        <w:t xml:space="preserve"> potranno</w:t>
      </w:r>
      <w:r w:rsidR="002239A9" w:rsidRPr="00530029">
        <w:rPr>
          <w:rFonts w:cstheme="minorHAnsi"/>
          <w:sz w:val="24"/>
          <w:szCs w:val="24"/>
        </w:rPr>
        <w:t xml:space="preserve"> dunque</w:t>
      </w:r>
      <w:r w:rsidR="00A308CA" w:rsidRPr="00530029">
        <w:rPr>
          <w:rFonts w:cstheme="minorHAnsi"/>
          <w:sz w:val="24"/>
          <w:szCs w:val="24"/>
        </w:rPr>
        <w:t xml:space="preserve"> </w:t>
      </w:r>
      <w:r w:rsidR="00A308CA" w:rsidRPr="00530029">
        <w:rPr>
          <w:rFonts w:cstheme="minorHAnsi"/>
          <w:b/>
          <w:bCs/>
          <w:sz w:val="24"/>
          <w:szCs w:val="24"/>
        </w:rPr>
        <w:t xml:space="preserve">valutare la congruità delle offerte </w:t>
      </w:r>
      <w:r w:rsidR="007A0C60" w:rsidRPr="00530029">
        <w:rPr>
          <w:rFonts w:cstheme="minorHAnsi"/>
          <w:b/>
          <w:bCs/>
          <w:sz w:val="24"/>
          <w:szCs w:val="24"/>
        </w:rPr>
        <w:t>che present</w:t>
      </w:r>
      <w:r w:rsidR="008C4ED3" w:rsidRPr="00530029">
        <w:rPr>
          <w:rFonts w:cstheme="minorHAnsi"/>
          <w:b/>
          <w:bCs/>
          <w:sz w:val="24"/>
          <w:szCs w:val="24"/>
        </w:rPr>
        <w:t>ino</w:t>
      </w:r>
      <w:r w:rsidR="007A0C60" w:rsidRPr="00530029">
        <w:rPr>
          <w:rFonts w:cstheme="minorHAnsi"/>
          <w:b/>
          <w:bCs/>
          <w:sz w:val="24"/>
          <w:szCs w:val="24"/>
        </w:rPr>
        <w:t xml:space="preserve"> sia i punti relativi al prezzo, sia la somma dei punti relativi agli altri elementi di valutazione, entrambi pari o superiori ai quattro quinti dei corrispondenti punti massimi previsti dal bando di gara</w:t>
      </w:r>
      <w:r w:rsidR="007A0C60" w:rsidRPr="00530029">
        <w:rPr>
          <w:rFonts w:cstheme="minorHAnsi"/>
          <w:sz w:val="24"/>
          <w:szCs w:val="24"/>
        </w:rPr>
        <w:t>.</w:t>
      </w:r>
    </w:p>
    <w:sectPr w:rsidR="005657B3" w:rsidRPr="00530029">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212EE" w14:textId="77777777" w:rsidR="005D5C72" w:rsidRDefault="005D5C72" w:rsidP="000A4A79">
      <w:pPr>
        <w:spacing w:after="0" w:line="240" w:lineRule="auto"/>
      </w:pPr>
      <w:r>
        <w:separator/>
      </w:r>
    </w:p>
  </w:endnote>
  <w:endnote w:type="continuationSeparator" w:id="0">
    <w:p w14:paraId="74FF476E" w14:textId="77777777" w:rsidR="005D5C72" w:rsidRDefault="005D5C72" w:rsidP="000A4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476993414"/>
      <w:docPartObj>
        <w:docPartGallery w:val="Page Numbers (Bottom of Page)"/>
        <w:docPartUnique/>
      </w:docPartObj>
    </w:sdtPr>
    <w:sdtContent>
      <w:p w14:paraId="5B9B54D5" w14:textId="461D6C1C" w:rsidR="00164967" w:rsidRPr="000240B6" w:rsidRDefault="00164967">
        <w:pPr>
          <w:pStyle w:val="Pidipagina"/>
          <w:jc w:val="center"/>
          <w:rPr>
            <w:sz w:val="18"/>
            <w:szCs w:val="18"/>
          </w:rPr>
        </w:pPr>
        <w:r w:rsidRPr="000240B6">
          <w:rPr>
            <w:sz w:val="18"/>
            <w:szCs w:val="18"/>
          </w:rPr>
          <w:fldChar w:fldCharType="begin"/>
        </w:r>
        <w:r w:rsidRPr="000240B6">
          <w:rPr>
            <w:sz w:val="18"/>
            <w:szCs w:val="18"/>
          </w:rPr>
          <w:instrText>PAGE   \* MERGEFORMAT</w:instrText>
        </w:r>
        <w:r w:rsidRPr="000240B6">
          <w:rPr>
            <w:sz w:val="18"/>
            <w:szCs w:val="18"/>
          </w:rPr>
          <w:fldChar w:fldCharType="separate"/>
        </w:r>
        <w:r w:rsidRPr="000240B6">
          <w:rPr>
            <w:sz w:val="18"/>
            <w:szCs w:val="18"/>
          </w:rPr>
          <w:t>2</w:t>
        </w:r>
        <w:r w:rsidRPr="000240B6">
          <w:rPr>
            <w:sz w:val="18"/>
            <w:szCs w:val="18"/>
          </w:rPr>
          <w:fldChar w:fldCharType="end"/>
        </w:r>
      </w:p>
    </w:sdtContent>
  </w:sdt>
  <w:p w14:paraId="227FEB03" w14:textId="77777777" w:rsidR="00164967" w:rsidRDefault="0016496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D05ED" w14:textId="77777777" w:rsidR="005D5C72" w:rsidRDefault="005D5C72" w:rsidP="000A4A79">
      <w:pPr>
        <w:spacing w:after="0" w:line="240" w:lineRule="auto"/>
      </w:pPr>
      <w:r>
        <w:separator/>
      </w:r>
    </w:p>
  </w:footnote>
  <w:footnote w:type="continuationSeparator" w:id="0">
    <w:p w14:paraId="768CB6D7" w14:textId="77777777" w:rsidR="005D5C72" w:rsidRDefault="005D5C72" w:rsidP="000A4A79">
      <w:pPr>
        <w:spacing w:after="0" w:line="240" w:lineRule="auto"/>
      </w:pPr>
      <w:r>
        <w:continuationSeparator/>
      </w:r>
    </w:p>
  </w:footnote>
  <w:footnote w:id="1">
    <w:p w14:paraId="460B5066" w14:textId="167AC4D4" w:rsidR="00B35BE9" w:rsidRPr="000240B6" w:rsidRDefault="00B35BE9" w:rsidP="00B35BE9">
      <w:pPr>
        <w:pStyle w:val="Testonotaapidipagina"/>
        <w:ind w:left="142" w:hanging="142"/>
        <w:jc w:val="both"/>
        <w:rPr>
          <w:rFonts w:cstheme="minorHAnsi"/>
          <w:sz w:val="18"/>
          <w:szCs w:val="18"/>
        </w:rPr>
      </w:pPr>
      <w:r w:rsidRPr="000240B6">
        <w:rPr>
          <w:rStyle w:val="Rimandonotaapidipagina"/>
          <w:rFonts w:cstheme="minorHAnsi"/>
          <w:sz w:val="18"/>
          <w:szCs w:val="18"/>
        </w:rPr>
        <w:footnoteRef/>
      </w:r>
      <w:r w:rsidRPr="000240B6">
        <w:rPr>
          <w:rFonts w:cstheme="minorHAnsi"/>
          <w:sz w:val="18"/>
          <w:szCs w:val="18"/>
        </w:rPr>
        <w:t xml:space="preserve"> </w:t>
      </w:r>
      <w:r w:rsidR="000A12A6">
        <w:rPr>
          <w:rFonts w:cstheme="minorHAnsi"/>
          <w:sz w:val="18"/>
          <w:szCs w:val="18"/>
        </w:rPr>
        <w:t xml:space="preserve">Secondo un consolidato </w:t>
      </w:r>
      <w:r w:rsidRPr="000240B6">
        <w:rPr>
          <w:rFonts w:cstheme="minorHAnsi"/>
          <w:sz w:val="18"/>
          <w:szCs w:val="18"/>
        </w:rPr>
        <w:t>orientamento giurisprudenziale</w:t>
      </w:r>
      <w:r w:rsidR="000A12A6">
        <w:rPr>
          <w:rFonts w:cstheme="minorHAnsi"/>
          <w:sz w:val="18"/>
          <w:szCs w:val="18"/>
        </w:rPr>
        <w:t xml:space="preserve">, </w:t>
      </w:r>
      <w:r w:rsidRPr="000240B6">
        <w:rPr>
          <w:rFonts w:cstheme="minorHAnsi"/>
          <w:sz w:val="18"/>
          <w:szCs w:val="18"/>
        </w:rPr>
        <w:t>la determinazione dell’Amministrazione di procedere alla verifica di anomalia nei casi in cui ciò non sia espressamente previsto dalla norma è del tutto facoltativa e di natura spiccatamente discrezionale, non soggetta alla sindacabilità del giudice amministrativo se non per le ipotesi di manifesta illogicità ed irragionevolezza (per tutte Consiglio di Stato, V, 6 giugno 2019, n. 3833).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A377B"/>
    <w:multiLevelType w:val="hybridMultilevel"/>
    <w:tmpl w:val="2E2E16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312D37"/>
    <w:multiLevelType w:val="hybridMultilevel"/>
    <w:tmpl w:val="9432CC38"/>
    <w:lvl w:ilvl="0" w:tplc="427ACD0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ADD7260"/>
    <w:multiLevelType w:val="hybridMultilevel"/>
    <w:tmpl w:val="46544FE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DB92B49"/>
    <w:multiLevelType w:val="hybridMultilevel"/>
    <w:tmpl w:val="2E2E16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ECB3D23"/>
    <w:multiLevelType w:val="hybridMultilevel"/>
    <w:tmpl w:val="51EEA42A"/>
    <w:lvl w:ilvl="0" w:tplc="C6AE9FB6">
      <w:start w:val="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52B0F8F"/>
    <w:multiLevelType w:val="hybridMultilevel"/>
    <w:tmpl w:val="E6584D8A"/>
    <w:lvl w:ilvl="0" w:tplc="0B7AC82C">
      <w:start w:val="1"/>
      <w:numFmt w:val="upperLetter"/>
      <w:lvlText w:val="%1.1"/>
      <w:lvlJc w:val="left"/>
      <w:pPr>
        <w:ind w:left="1070" w:hanging="360"/>
      </w:pPr>
      <w:rPr>
        <w:rFonts w:hint="default"/>
        <w:b w:val="0"/>
        <w:bCs w:val="0"/>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6" w15:restartNumberingAfterBreak="0">
    <w:nsid w:val="2D9E3A77"/>
    <w:multiLevelType w:val="hybridMultilevel"/>
    <w:tmpl w:val="1E2E24EA"/>
    <w:lvl w:ilvl="0" w:tplc="7E143EA2">
      <w:start w:val="1"/>
      <w:numFmt w:val="upperLetter"/>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417110A"/>
    <w:multiLevelType w:val="hybridMultilevel"/>
    <w:tmpl w:val="B59249C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63C58D0"/>
    <w:multiLevelType w:val="hybridMultilevel"/>
    <w:tmpl w:val="F00ED584"/>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9" w15:restartNumberingAfterBreak="0">
    <w:nsid w:val="392C10AB"/>
    <w:multiLevelType w:val="hybridMultilevel"/>
    <w:tmpl w:val="4DB81A5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C4D1FDA"/>
    <w:multiLevelType w:val="hybridMultilevel"/>
    <w:tmpl w:val="55E0CE14"/>
    <w:lvl w:ilvl="0" w:tplc="052CB494">
      <w:start w:val="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4CA451E"/>
    <w:multiLevelType w:val="hybridMultilevel"/>
    <w:tmpl w:val="02C475C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D2302EB"/>
    <w:multiLevelType w:val="multilevel"/>
    <w:tmpl w:val="2E2E1648"/>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50BF639A"/>
    <w:multiLevelType w:val="hybridMultilevel"/>
    <w:tmpl w:val="A698AE2C"/>
    <w:lvl w:ilvl="0" w:tplc="C6AE9FB6">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0FC28E6"/>
    <w:multiLevelType w:val="multilevel"/>
    <w:tmpl w:val="02C475C0"/>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5AB63CB0"/>
    <w:multiLevelType w:val="hybridMultilevel"/>
    <w:tmpl w:val="38FEC39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BA05F52"/>
    <w:multiLevelType w:val="hybridMultilevel"/>
    <w:tmpl w:val="101A07D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C6F580F"/>
    <w:multiLevelType w:val="multilevel"/>
    <w:tmpl w:val="02C475C0"/>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5F697849"/>
    <w:multiLevelType w:val="multilevel"/>
    <w:tmpl w:val="2E2E1648"/>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15:restartNumberingAfterBreak="0">
    <w:nsid w:val="60B725F1"/>
    <w:multiLevelType w:val="singleLevel"/>
    <w:tmpl w:val="33F6AB3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0" w15:restartNumberingAfterBreak="0">
    <w:nsid w:val="62D56282"/>
    <w:multiLevelType w:val="multilevel"/>
    <w:tmpl w:val="2E2E1648"/>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657A5594"/>
    <w:multiLevelType w:val="hybridMultilevel"/>
    <w:tmpl w:val="F34AE020"/>
    <w:lvl w:ilvl="0" w:tplc="2C54F79E">
      <w:start w:val="3"/>
      <w:numFmt w:val="lowerLetter"/>
      <w:lvlText w:val="%1)"/>
      <w:lvlJc w:val="left"/>
      <w:pPr>
        <w:ind w:left="720" w:hanging="360"/>
      </w:pPr>
      <w:rPr>
        <w:rFonts w:ascii="Calibri" w:hAnsi="Calibri" w:cs="Calibri"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713017B"/>
    <w:multiLevelType w:val="hybridMultilevel"/>
    <w:tmpl w:val="A4862D34"/>
    <w:lvl w:ilvl="0" w:tplc="B5865C6A">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EF2041D"/>
    <w:multiLevelType w:val="multilevel"/>
    <w:tmpl w:val="2E2E1648"/>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15:restartNumberingAfterBreak="0">
    <w:nsid w:val="74E1285D"/>
    <w:multiLevelType w:val="multilevel"/>
    <w:tmpl w:val="E6584D8A"/>
    <w:lvl w:ilvl="0">
      <w:start w:val="1"/>
      <w:numFmt w:val="upperLetter"/>
      <w:lvlText w:val="%1.1"/>
      <w:lvlJc w:val="left"/>
      <w:pPr>
        <w:ind w:left="1070" w:hanging="360"/>
      </w:pPr>
      <w:rPr>
        <w:rFonts w:hint="default"/>
        <w:b w:val="0"/>
        <w:bCs w:val="0"/>
      </w:rPr>
    </w:lvl>
    <w:lvl w:ilvl="1" w:tentative="1">
      <w:start w:val="1"/>
      <w:numFmt w:val="lowerLetter"/>
      <w:lvlText w:val="%2."/>
      <w:lvlJc w:val="left"/>
      <w:pPr>
        <w:ind w:left="1790" w:hanging="360"/>
      </w:pPr>
    </w:lvl>
    <w:lvl w:ilvl="2" w:tentative="1">
      <w:start w:val="1"/>
      <w:numFmt w:val="lowerRoman"/>
      <w:lvlText w:val="%3."/>
      <w:lvlJc w:val="right"/>
      <w:pPr>
        <w:ind w:left="2510" w:hanging="180"/>
      </w:pPr>
    </w:lvl>
    <w:lvl w:ilvl="3" w:tentative="1">
      <w:start w:val="1"/>
      <w:numFmt w:val="decimal"/>
      <w:lvlText w:val="%4."/>
      <w:lvlJc w:val="left"/>
      <w:pPr>
        <w:ind w:left="3230" w:hanging="360"/>
      </w:pPr>
    </w:lvl>
    <w:lvl w:ilvl="4" w:tentative="1">
      <w:start w:val="1"/>
      <w:numFmt w:val="lowerLetter"/>
      <w:lvlText w:val="%5."/>
      <w:lvlJc w:val="left"/>
      <w:pPr>
        <w:ind w:left="3950" w:hanging="360"/>
      </w:pPr>
    </w:lvl>
    <w:lvl w:ilvl="5" w:tentative="1">
      <w:start w:val="1"/>
      <w:numFmt w:val="lowerRoman"/>
      <w:lvlText w:val="%6."/>
      <w:lvlJc w:val="right"/>
      <w:pPr>
        <w:ind w:left="4670" w:hanging="180"/>
      </w:pPr>
    </w:lvl>
    <w:lvl w:ilvl="6" w:tentative="1">
      <w:start w:val="1"/>
      <w:numFmt w:val="decimal"/>
      <w:lvlText w:val="%7."/>
      <w:lvlJc w:val="left"/>
      <w:pPr>
        <w:ind w:left="5390" w:hanging="360"/>
      </w:pPr>
    </w:lvl>
    <w:lvl w:ilvl="7" w:tentative="1">
      <w:start w:val="1"/>
      <w:numFmt w:val="lowerLetter"/>
      <w:lvlText w:val="%8."/>
      <w:lvlJc w:val="left"/>
      <w:pPr>
        <w:ind w:left="6110" w:hanging="360"/>
      </w:pPr>
    </w:lvl>
    <w:lvl w:ilvl="8" w:tentative="1">
      <w:start w:val="1"/>
      <w:numFmt w:val="lowerRoman"/>
      <w:lvlText w:val="%9."/>
      <w:lvlJc w:val="right"/>
      <w:pPr>
        <w:ind w:left="6830" w:hanging="180"/>
      </w:pPr>
    </w:lvl>
  </w:abstractNum>
  <w:abstractNum w:abstractNumId="25" w15:restartNumberingAfterBreak="0">
    <w:nsid w:val="78175E44"/>
    <w:multiLevelType w:val="hybridMultilevel"/>
    <w:tmpl w:val="2E2E16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8CB560A"/>
    <w:multiLevelType w:val="hybridMultilevel"/>
    <w:tmpl w:val="D132E6D8"/>
    <w:lvl w:ilvl="0" w:tplc="8182E99A">
      <w:start w:val="3"/>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F246372"/>
    <w:multiLevelType w:val="hybridMultilevel"/>
    <w:tmpl w:val="8BCC862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82891621">
    <w:abstractNumId w:val="3"/>
  </w:num>
  <w:num w:numId="2" w16cid:durableId="1757827976">
    <w:abstractNumId w:val="27"/>
  </w:num>
  <w:num w:numId="3" w16cid:durableId="980884883">
    <w:abstractNumId w:val="14"/>
  </w:num>
  <w:num w:numId="4" w16cid:durableId="1190024630">
    <w:abstractNumId w:val="17"/>
  </w:num>
  <w:num w:numId="5" w16cid:durableId="149755684">
    <w:abstractNumId w:val="26"/>
  </w:num>
  <w:num w:numId="6" w16cid:durableId="2128893694">
    <w:abstractNumId w:val="21"/>
  </w:num>
  <w:num w:numId="7" w16cid:durableId="254560932">
    <w:abstractNumId w:val="10"/>
  </w:num>
  <w:num w:numId="8" w16cid:durableId="173616547">
    <w:abstractNumId w:val="1"/>
  </w:num>
  <w:num w:numId="9" w16cid:durableId="1234437970">
    <w:abstractNumId w:val="4"/>
  </w:num>
  <w:num w:numId="10" w16cid:durableId="1668553268">
    <w:abstractNumId w:val="11"/>
  </w:num>
  <w:num w:numId="11" w16cid:durableId="1700085769">
    <w:abstractNumId w:val="12"/>
  </w:num>
  <w:num w:numId="12" w16cid:durableId="1607693585">
    <w:abstractNumId w:val="13"/>
  </w:num>
  <w:num w:numId="13" w16cid:durableId="709300634">
    <w:abstractNumId w:val="0"/>
  </w:num>
  <w:num w:numId="14" w16cid:durableId="1909530380">
    <w:abstractNumId w:val="8"/>
  </w:num>
  <w:num w:numId="15" w16cid:durableId="1349793166">
    <w:abstractNumId w:val="9"/>
  </w:num>
  <w:num w:numId="16" w16cid:durableId="432745977">
    <w:abstractNumId w:val="25"/>
  </w:num>
  <w:num w:numId="17" w16cid:durableId="498230811">
    <w:abstractNumId w:val="7"/>
  </w:num>
  <w:num w:numId="18" w16cid:durableId="5913302">
    <w:abstractNumId w:val="22"/>
  </w:num>
  <w:num w:numId="19" w16cid:durableId="1088042726">
    <w:abstractNumId w:val="6"/>
  </w:num>
  <w:num w:numId="20" w16cid:durableId="1675497152">
    <w:abstractNumId w:val="15"/>
  </w:num>
  <w:num w:numId="21" w16cid:durableId="469443153">
    <w:abstractNumId w:val="5"/>
  </w:num>
  <w:num w:numId="22" w16cid:durableId="974676954">
    <w:abstractNumId w:val="19"/>
  </w:num>
  <w:num w:numId="23" w16cid:durableId="1640921231">
    <w:abstractNumId w:val="16"/>
  </w:num>
  <w:num w:numId="24" w16cid:durableId="1592078198">
    <w:abstractNumId w:val="2"/>
  </w:num>
  <w:num w:numId="25" w16cid:durableId="2134514838">
    <w:abstractNumId w:val="18"/>
  </w:num>
  <w:num w:numId="26" w16cid:durableId="1581601729">
    <w:abstractNumId w:val="20"/>
  </w:num>
  <w:num w:numId="27" w16cid:durableId="1767919406">
    <w:abstractNumId w:val="23"/>
  </w:num>
  <w:num w:numId="28" w16cid:durableId="55543115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98A"/>
    <w:rsid w:val="0000044E"/>
    <w:rsid w:val="000007C7"/>
    <w:rsid w:val="00003BE7"/>
    <w:rsid w:val="000066A4"/>
    <w:rsid w:val="00010D78"/>
    <w:rsid w:val="00011807"/>
    <w:rsid w:val="00012871"/>
    <w:rsid w:val="000152E9"/>
    <w:rsid w:val="00016B7E"/>
    <w:rsid w:val="00020597"/>
    <w:rsid w:val="000218A1"/>
    <w:rsid w:val="000240B6"/>
    <w:rsid w:val="00025A44"/>
    <w:rsid w:val="000278C0"/>
    <w:rsid w:val="00034E59"/>
    <w:rsid w:val="000439F9"/>
    <w:rsid w:val="00044084"/>
    <w:rsid w:val="00051884"/>
    <w:rsid w:val="00055A51"/>
    <w:rsid w:val="00057A61"/>
    <w:rsid w:val="0006148B"/>
    <w:rsid w:val="00066C5D"/>
    <w:rsid w:val="00067C08"/>
    <w:rsid w:val="00075C85"/>
    <w:rsid w:val="00076FAC"/>
    <w:rsid w:val="00083448"/>
    <w:rsid w:val="000878BC"/>
    <w:rsid w:val="0009447C"/>
    <w:rsid w:val="00095CD4"/>
    <w:rsid w:val="000A12A6"/>
    <w:rsid w:val="000A452F"/>
    <w:rsid w:val="000A4A79"/>
    <w:rsid w:val="000A6569"/>
    <w:rsid w:val="000B7F0B"/>
    <w:rsid w:val="000D096E"/>
    <w:rsid w:val="000D64EC"/>
    <w:rsid w:val="000D7C57"/>
    <w:rsid w:val="000D7EBF"/>
    <w:rsid w:val="000F03A5"/>
    <w:rsid w:val="000F11FD"/>
    <w:rsid w:val="000F14E6"/>
    <w:rsid w:val="001034B8"/>
    <w:rsid w:val="00107BAF"/>
    <w:rsid w:val="00120E2F"/>
    <w:rsid w:val="0012147F"/>
    <w:rsid w:val="001323D3"/>
    <w:rsid w:val="00133231"/>
    <w:rsid w:val="001406F8"/>
    <w:rsid w:val="001508E9"/>
    <w:rsid w:val="00150A67"/>
    <w:rsid w:val="00150BA6"/>
    <w:rsid w:val="001548E8"/>
    <w:rsid w:val="00155CDE"/>
    <w:rsid w:val="00156648"/>
    <w:rsid w:val="00160881"/>
    <w:rsid w:val="00163923"/>
    <w:rsid w:val="00164967"/>
    <w:rsid w:val="00164F6F"/>
    <w:rsid w:val="001664C2"/>
    <w:rsid w:val="00170D61"/>
    <w:rsid w:val="0017311A"/>
    <w:rsid w:val="00173AFE"/>
    <w:rsid w:val="001779AB"/>
    <w:rsid w:val="00182A86"/>
    <w:rsid w:val="0018686E"/>
    <w:rsid w:val="00195E8A"/>
    <w:rsid w:val="001977B7"/>
    <w:rsid w:val="001A1D72"/>
    <w:rsid w:val="001A2E04"/>
    <w:rsid w:val="001A4832"/>
    <w:rsid w:val="001A7839"/>
    <w:rsid w:val="001B1277"/>
    <w:rsid w:val="001B2FD1"/>
    <w:rsid w:val="001B3470"/>
    <w:rsid w:val="001B4977"/>
    <w:rsid w:val="001C4D7A"/>
    <w:rsid w:val="001C6895"/>
    <w:rsid w:val="001C7B08"/>
    <w:rsid w:val="001D2954"/>
    <w:rsid w:val="001D4E93"/>
    <w:rsid w:val="001E0D45"/>
    <w:rsid w:val="001E346D"/>
    <w:rsid w:val="001E370A"/>
    <w:rsid w:val="001E73DC"/>
    <w:rsid w:val="001F0783"/>
    <w:rsid w:val="001F11B3"/>
    <w:rsid w:val="001F1262"/>
    <w:rsid w:val="001F2B23"/>
    <w:rsid w:val="001F39DF"/>
    <w:rsid w:val="00200374"/>
    <w:rsid w:val="002045C5"/>
    <w:rsid w:val="00207472"/>
    <w:rsid w:val="002120CC"/>
    <w:rsid w:val="00215208"/>
    <w:rsid w:val="0021715C"/>
    <w:rsid w:val="002201EE"/>
    <w:rsid w:val="002223BB"/>
    <w:rsid w:val="002239A9"/>
    <w:rsid w:val="00225FB3"/>
    <w:rsid w:val="0024283A"/>
    <w:rsid w:val="0024385E"/>
    <w:rsid w:val="0024782B"/>
    <w:rsid w:val="00256463"/>
    <w:rsid w:val="002572AD"/>
    <w:rsid w:val="00257713"/>
    <w:rsid w:val="00260B2D"/>
    <w:rsid w:val="0026264D"/>
    <w:rsid w:val="002801A1"/>
    <w:rsid w:val="0029510A"/>
    <w:rsid w:val="002A27FA"/>
    <w:rsid w:val="002A73F7"/>
    <w:rsid w:val="002B01B6"/>
    <w:rsid w:val="002B4969"/>
    <w:rsid w:val="002C4FF4"/>
    <w:rsid w:val="002C5DD0"/>
    <w:rsid w:val="002D46CD"/>
    <w:rsid w:val="002D4925"/>
    <w:rsid w:val="002E1A07"/>
    <w:rsid w:val="002E2021"/>
    <w:rsid w:val="002E374A"/>
    <w:rsid w:val="002E3DB9"/>
    <w:rsid w:val="002F2559"/>
    <w:rsid w:val="003221AF"/>
    <w:rsid w:val="00323560"/>
    <w:rsid w:val="003270AC"/>
    <w:rsid w:val="00333EA3"/>
    <w:rsid w:val="00336D5F"/>
    <w:rsid w:val="003433F9"/>
    <w:rsid w:val="003503E0"/>
    <w:rsid w:val="0035204C"/>
    <w:rsid w:val="0035494A"/>
    <w:rsid w:val="00360611"/>
    <w:rsid w:val="00361A7C"/>
    <w:rsid w:val="00365693"/>
    <w:rsid w:val="0036724B"/>
    <w:rsid w:val="00371B88"/>
    <w:rsid w:val="00375042"/>
    <w:rsid w:val="00380239"/>
    <w:rsid w:val="00383EA6"/>
    <w:rsid w:val="00392C6B"/>
    <w:rsid w:val="003A02E2"/>
    <w:rsid w:val="003A7B4D"/>
    <w:rsid w:val="003B0613"/>
    <w:rsid w:val="003B35D8"/>
    <w:rsid w:val="003B7361"/>
    <w:rsid w:val="003C0406"/>
    <w:rsid w:val="003C2AA6"/>
    <w:rsid w:val="003D2F94"/>
    <w:rsid w:val="003D3A61"/>
    <w:rsid w:val="003F0445"/>
    <w:rsid w:val="003F1786"/>
    <w:rsid w:val="003F21C2"/>
    <w:rsid w:val="0040383C"/>
    <w:rsid w:val="004038E3"/>
    <w:rsid w:val="00406BDC"/>
    <w:rsid w:val="0041231C"/>
    <w:rsid w:val="00412FD4"/>
    <w:rsid w:val="004206B4"/>
    <w:rsid w:val="00421CA1"/>
    <w:rsid w:val="00421D16"/>
    <w:rsid w:val="00423D1B"/>
    <w:rsid w:val="00425603"/>
    <w:rsid w:val="00427A6F"/>
    <w:rsid w:val="00431F19"/>
    <w:rsid w:val="004467AE"/>
    <w:rsid w:val="00447148"/>
    <w:rsid w:val="00452873"/>
    <w:rsid w:val="00456E80"/>
    <w:rsid w:val="0046485D"/>
    <w:rsid w:val="00470C86"/>
    <w:rsid w:val="004735F4"/>
    <w:rsid w:val="00473603"/>
    <w:rsid w:val="004A1D97"/>
    <w:rsid w:val="004A7867"/>
    <w:rsid w:val="004B1259"/>
    <w:rsid w:val="004B3D4C"/>
    <w:rsid w:val="004C03A4"/>
    <w:rsid w:val="004C0AB7"/>
    <w:rsid w:val="004C2573"/>
    <w:rsid w:val="004D3943"/>
    <w:rsid w:val="004D39FC"/>
    <w:rsid w:val="004E2932"/>
    <w:rsid w:val="004F0A3D"/>
    <w:rsid w:val="004F7C86"/>
    <w:rsid w:val="005020AC"/>
    <w:rsid w:val="00510731"/>
    <w:rsid w:val="005137FC"/>
    <w:rsid w:val="00513DA8"/>
    <w:rsid w:val="00515BEE"/>
    <w:rsid w:val="00516FC3"/>
    <w:rsid w:val="00522C2F"/>
    <w:rsid w:val="00522CC5"/>
    <w:rsid w:val="005249D7"/>
    <w:rsid w:val="00530029"/>
    <w:rsid w:val="00531204"/>
    <w:rsid w:val="00532317"/>
    <w:rsid w:val="00533079"/>
    <w:rsid w:val="00536E76"/>
    <w:rsid w:val="00542076"/>
    <w:rsid w:val="00543314"/>
    <w:rsid w:val="00556E70"/>
    <w:rsid w:val="005606FF"/>
    <w:rsid w:val="00562B1F"/>
    <w:rsid w:val="00562B83"/>
    <w:rsid w:val="005657B3"/>
    <w:rsid w:val="00565BFB"/>
    <w:rsid w:val="00566A46"/>
    <w:rsid w:val="00567751"/>
    <w:rsid w:val="00572DD8"/>
    <w:rsid w:val="0057723B"/>
    <w:rsid w:val="00577FB5"/>
    <w:rsid w:val="005841FB"/>
    <w:rsid w:val="00593886"/>
    <w:rsid w:val="00595E74"/>
    <w:rsid w:val="00596047"/>
    <w:rsid w:val="005A28B7"/>
    <w:rsid w:val="005A5675"/>
    <w:rsid w:val="005A7846"/>
    <w:rsid w:val="005B4A27"/>
    <w:rsid w:val="005C5754"/>
    <w:rsid w:val="005D03B1"/>
    <w:rsid w:val="005D20D7"/>
    <w:rsid w:val="005D29B9"/>
    <w:rsid w:val="005D54E2"/>
    <w:rsid w:val="005D5C72"/>
    <w:rsid w:val="005D66AF"/>
    <w:rsid w:val="005D7F84"/>
    <w:rsid w:val="005E4154"/>
    <w:rsid w:val="005F224C"/>
    <w:rsid w:val="005F4A24"/>
    <w:rsid w:val="005F78F2"/>
    <w:rsid w:val="006073C7"/>
    <w:rsid w:val="00616DC2"/>
    <w:rsid w:val="006243BF"/>
    <w:rsid w:val="006313A0"/>
    <w:rsid w:val="006347C3"/>
    <w:rsid w:val="0064471B"/>
    <w:rsid w:val="006507A1"/>
    <w:rsid w:val="0065242F"/>
    <w:rsid w:val="006645C2"/>
    <w:rsid w:val="00670602"/>
    <w:rsid w:val="006746FF"/>
    <w:rsid w:val="00681E76"/>
    <w:rsid w:val="00696A4E"/>
    <w:rsid w:val="006A40AA"/>
    <w:rsid w:val="006B1383"/>
    <w:rsid w:val="006B3738"/>
    <w:rsid w:val="006C31ED"/>
    <w:rsid w:val="006C6344"/>
    <w:rsid w:val="006D1DB5"/>
    <w:rsid w:val="006E5E07"/>
    <w:rsid w:val="006E6CC1"/>
    <w:rsid w:val="006F0DA0"/>
    <w:rsid w:val="006F6B50"/>
    <w:rsid w:val="006F6F86"/>
    <w:rsid w:val="00701147"/>
    <w:rsid w:val="00705709"/>
    <w:rsid w:val="00707455"/>
    <w:rsid w:val="007157E1"/>
    <w:rsid w:val="00721D7A"/>
    <w:rsid w:val="00722521"/>
    <w:rsid w:val="007236B7"/>
    <w:rsid w:val="00723E0E"/>
    <w:rsid w:val="007301F4"/>
    <w:rsid w:val="00736B79"/>
    <w:rsid w:val="00737153"/>
    <w:rsid w:val="00737C26"/>
    <w:rsid w:val="00747929"/>
    <w:rsid w:val="00757F6F"/>
    <w:rsid w:val="007756D9"/>
    <w:rsid w:val="0078356B"/>
    <w:rsid w:val="00790013"/>
    <w:rsid w:val="007A0C60"/>
    <w:rsid w:val="007A3B39"/>
    <w:rsid w:val="007A7392"/>
    <w:rsid w:val="007A784A"/>
    <w:rsid w:val="007C1A37"/>
    <w:rsid w:val="007C60AB"/>
    <w:rsid w:val="007D0D20"/>
    <w:rsid w:val="007D52E3"/>
    <w:rsid w:val="007E3DB5"/>
    <w:rsid w:val="007E524F"/>
    <w:rsid w:val="007F18E8"/>
    <w:rsid w:val="007F6E7F"/>
    <w:rsid w:val="008003B5"/>
    <w:rsid w:val="00800F8F"/>
    <w:rsid w:val="00803B6B"/>
    <w:rsid w:val="008065B5"/>
    <w:rsid w:val="008118EC"/>
    <w:rsid w:val="00820F04"/>
    <w:rsid w:val="0082298A"/>
    <w:rsid w:val="00823B7D"/>
    <w:rsid w:val="00827105"/>
    <w:rsid w:val="00830697"/>
    <w:rsid w:val="008313F3"/>
    <w:rsid w:val="00837C15"/>
    <w:rsid w:val="00840A0B"/>
    <w:rsid w:val="00846B22"/>
    <w:rsid w:val="00852568"/>
    <w:rsid w:val="0085419A"/>
    <w:rsid w:val="008578D6"/>
    <w:rsid w:val="008611C7"/>
    <w:rsid w:val="008637C0"/>
    <w:rsid w:val="0086542A"/>
    <w:rsid w:val="00871596"/>
    <w:rsid w:val="008732A8"/>
    <w:rsid w:val="00873675"/>
    <w:rsid w:val="008824B7"/>
    <w:rsid w:val="00882F5F"/>
    <w:rsid w:val="00885086"/>
    <w:rsid w:val="008876FE"/>
    <w:rsid w:val="008931C5"/>
    <w:rsid w:val="008A1D1D"/>
    <w:rsid w:val="008A4481"/>
    <w:rsid w:val="008A5ABE"/>
    <w:rsid w:val="008A7378"/>
    <w:rsid w:val="008B4C53"/>
    <w:rsid w:val="008C3224"/>
    <w:rsid w:val="008C4ED3"/>
    <w:rsid w:val="008D05A1"/>
    <w:rsid w:val="008D454E"/>
    <w:rsid w:val="008D4819"/>
    <w:rsid w:val="008D4C19"/>
    <w:rsid w:val="008D5E8C"/>
    <w:rsid w:val="008D7CB7"/>
    <w:rsid w:val="008E3BB9"/>
    <w:rsid w:val="008F7765"/>
    <w:rsid w:val="0090008E"/>
    <w:rsid w:val="00901D70"/>
    <w:rsid w:val="00910CAC"/>
    <w:rsid w:val="00914576"/>
    <w:rsid w:val="00917058"/>
    <w:rsid w:val="009258A0"/>
    <w:rsid w:val="00925EFB"/>
    <w:rsid w:val="00930C05"/>
    <w:rsid w:val="009410FD"/>
    <w:rsid w:val="00942AFE"/>
    <w:rsid w:val="0094738D"/>
    <w:rsid w:val="00947A74"/>
    <w:rsid w:val="00956E16"/>
    <w:rsid w:val="00964B90"/>
    <w:rsid w:val="0097410F"/>
    <w:rsid w:val="009746CB"/>
    <w:rsid w:val="00980601"/>
    <w:rsid w:val="0098320E"/>
    <w:rsid w:val="00983B19"/>
    <w:rsid w:val="00995F6D"/>
    <w:rsid w:val="009A2E42"/>
    <w:rsid w:val="009A308E"/>
    <w:rsid w:val="009A3427"/>
    <w:rsid w:val="009B4D96"/>
    <w:rsid w:val="009C277D"/>
    <w:rsid w:val="009C591B"/>
    <w:rsid w:val="009C61D8"/>
    <w:rsid w:val="009C7DB4"/>
    <w:rsid w:val="009D4704"/>
    <w:rsid w:val="009D5D31"/>
    <w:rsid w:val="009E2837"/>
    <w:rsid w:val="009E5FF2"/>
    <w:rsid w:val="009F0E61"/>
    <w:rsid w:val="009F35AD"/>
    <w:rsid w:val="00A005E6"/>
    <w:rsid w:val="00A02300"/>
    <w:rsid w:val="00A02BDA"/>
    <w:rsid w:val="00A0795E"/>
    <w:rsid w:val="00A133DA"/>
    <w:rsid w:val="00A13F74"/>
    <w:rsid w:val="00A17092"/>
    <w:rsid w:val="00A20858"/>
    <w:rsid w:val="00A21BBD"/>
    <w:rsid w:val="00A27553"/>
    <w:rsid w:val="00A308CA"/>
    <w:rsid w:val="00A32D2C"/>
    <w:rsid w:val="00A35BD3"/>
    <w:rsid w:val="00A36703"/>
    <w:rsid w:val="00A41A46"/>
    <w:rsid w:val="00A45904"/>
    <w:rsid w:val="00A615C2"/>
    <w:rsid w:val="00A67900"/>
    <w:rsid w:val="00A67DC9"/>
    <w:rsid w:val="00A73D89"/>
    <w:rsid w:val="00A74363"/>
    <w:rsid w:val="00A75949"/>
    <w:rsid w:val="00A81458"/>
    <w:rsid w:val="00A81F13"/>
    <w:rsid w:val="00A82209"/>
    <w:rsid w:val="00A82C87"/>
    <w:rsid w:val="00A82FA5"/>
    <w:rsid w:val="00A850A4"/>
    <w:rsid w:val="00A851EE"/>
    <w:rsid w:val="00A94DBC"/>
    <w:rsid w:val="00A96053"/>
    <w:rsid w:val="00A9735D"/>
    <w:rsid w:val="00AA199A"/>
    <w:rsid w:val="00AA3B05"/>
    <w:rsid w:val="00AA40CF"/>
    <w:rsid w:val="00AB304D"/>
    <w:rsid w:val="00AB3073"/>
    <w:rsid w:val="00AB7E4F"/>
    <w:rsid w:val="00AD064A"/>
    <w:rsid w:val="00AD20AC"/>
    <w:rsid w:val="00AE5161"/>
    <w:rsid w:val="00AF115F"/>
    <w:rsid w:val="00AF6FAD"/>
    <w:rsid w:val="00B07A73"/>
    <w:rsid w:val="00B07BBD"/>
    <w:rsid w:val="00B11504"/>
    <w:rsid w:val="00B25049"/>
    <w:rsid w:val="00B27442"/>
    <w:rsid w:val="00B31561"/>
    <w:rsid w:val="00B35BE9"/>
    <w:rsid w:val="00B3651C"/>
    <w:rsid w:val="00B45E91"/>
    <w:rsid w:val="00B46007"/>
    <w:rsid w:val="00B47452"/>
    <w:rsid w:val="00B503DB"/>
    <w:rsid w:val="00B52097"/>
    <w:rsid w:val="00B57C5F"/>
    <w:rsid w:val="00B66097"/>
    <w:rsid w:val="00B677A8"/>
    <w:rsid w:val="00B75D80"/>
    <w:rsid w:val="00B92AB0"/>
    <w:rsid w:val="00B95BCB"/>
    <w:rsid w:val="00BA3D82"/>
    <w:rsid w:val="00BA7CBF"/>
    <w:rsid w:val="00BB1231"/>
    <w:rsid w:val="00BB6883"/>
    <w:rsid w:val="00BC0B38"/>
    <w:rsid w:val="00BD41B4"/>
    <w:rsid w:val="00BD5B85"/>
    <w:rsid w:val="00BE07B5"/>
    <w:rsid w:val="00BE2788"/>
    <w:rsid w:val="00BE73EF"/>
    <w:rsid w:val="00BF212B"/>
    <w:rsid w:val="00BF269D"/>
    <w:rsid w:val="00BF42EA"/>
    <w:rsid w:val="00C12726"/>
    <w:rsid w:val="00C139A0"/>
    <w:rsid w:val="00C14C71"/>
    <w:rsid w:val="00C14E9D"/>
    <w:rsid w:val="00C16CB4"/>
    <w:rsid w:val="00C17498"/>
    <w:rsid w:val="00C21502"/>
    <w:rsid w:val="00C251E5"/>
    <w:rsid w:val="00C27DD3"/>
    <w:rsid w:val="00C31E10"/>
    <w:rsid w:val="00C347D6"/>
    <w:rsid w:val="00C3536E"/>
    <w:rsid w:val="00C35B3C"/>
    <w:rsid w:val="00C37C37"/>
    <w:rsid w:val="00C42945"/>
    <w:rsid w:val="00C45C8E"/>
    <w:rsid w:val="00C53F02"/>
    <w:rsid w:val="00C65DCB"/>
    <w:rsid w:val="00C77E7B"/>
    <w:rsid w:val="00C8353A"/>
    <w:rsid w:val="00C849A7"/>
    <w:rsid w:val="00C85C57"/>
    <w:rsid w:val="00C90AEC"/>
    <w:rsid w:val="00C91A85"/>
    <w:rsid w:val="00C94EA0"/>
    <w:rsid w:val="00C950D8"/>
    <w:rsid w:val="00C97005"/>
    <w:rsid w:val="00CA4E4B"/>
    <w:rsid w:val="00CB15F3"/>
    <w:rsid w:val="00CB1C05"/>
    <w:rsid w:val="00CB2616"/>
    <w:rsid w:val="00CC31B6"/>
    <w:rsid w:val="00CC7628"/>
    <w:rsid w:val="00CD141C"/>
    <w:rsid w:val="00CF212D"/>
    <w:rsid w:val="00CF3EDC"/>
    <w:rsid w:val="00CF526E"/>
    <w:rsid w:val="00D028D0"/>
    <w:rsid w:val="00D02937"/>
    <w:rsid w:val="00D038DF"/>
    <w:rsid w:val="00D0783A"/>
    <w:rsid w:val="00D11264"/>
    <w:rsid w:val="00D250F5"/>
    <w:rsid w:val="00D32149"/>
    <w:rsid w:val="00D33819"/>
    <w:rsid w:val="00D35132"/>
    <w:rsid w:val="00D359FB"/>
    <w:rsid w:val="00D46C26"/>
    <w:rsid w:val="00D51784"/>
    <w:rsid w:val="00D5211E"/>
    <w:rsid w:val="00D54F45"/>
    <w:rsid w:val="00D56F57"/>
    <w:rsid w:val="00D7148C"/>
    <w:rsid w:val="00D7182C"/>
    <w:rsid w:val="00D73661"/>
    <w:rsid w:val="00D7556A"/>
    <w:rsid w:val="00D758D7"/>
    <w:rsid w:val="00D877BD"/>
    <w:rsid w:val="00D87AF3"/>
    <w:rsid w:val="00D91EAF"/>
    <w:rsid w:val="00D93593"/>
    <w:rsid w:val="00DB2FC7"/>
    <w:rsid w:val="00DB4CBE"/>
    <w:rsid w:val="00DC4620"/>
    <w:rsid w:val="00DC6E78"/>
    <w:rsid w:val="00DD130B"/>
    <w:rsid w:val="00DD2D03"/>
    <w:rsid w:val="00DE1556"/>
    <w:rsid w:val="00DF3E3A"/>
    <w:rsid w:val="00DF70B3"/>
    <w:rsid w:val="00E03811"/>
    <w:rsid w:val="00E068ED"/>
    <w:rsid w:val="00E12FA7"/>
    <w:rsid w:val="00E221A2"/>
    <w:rsid w:val="00E23619"/>
    <w:rsid w:val="00E24E42"/>
    <w:rsid w:val="00E3117D"/>
    <w:rsid w:val="00E31406"/>
    <w:rsid w:val="00E35869"/>
    <w:rsid w:val="00E401C8"/>
    <w:rsid w:val="00E47E18"/>
    <w:rsid w:val="00E51351"/>
    <w:rsid w:val="00E53A69"/>
    <w:rsid w:val="00E54799"/>
    <w:rsid w:val="00E62EBB"/>
    <w:rsid w:val="00E74C84"/>
    <w:rsid w:val="00E74E5E"/>
    <w:rsid w:val="00E86EA1"/>
    <w:rsid w:val="00E90D09"/>
    <w:rsid w:val="00E9175F"/>
    <w:rsid w:val="00E945D2"/>
    <w:rsid w:val="00E96BD4"/>
    <w:rsid w:val="00E97A7D"/>
    <w:rsid w:val="00EA45AB"/>
    <w:rsid w:val="00EA67A9"/>
    <w:rsid w:val="00EA67FC"/>
    <w:rsid w:val="00EB4899"/>
    <w:rsid w:val="00EB77A4"/>
    <w:rsid w:val="00EB7C2D"/>
    <w:rsid w:val="00EC6AC4"/>
    <w:rsid w:val="00ED7DE0"/>
    <w:rsid w:val="00EE1C1D"/>
    <w:rsid w:val="00EE22B2"/>
    <w:rsid w:val="00EE4D4D"/>
    <w:rsid w:val="00EF2C4D"/>
    <w:rsid w:val="00EF4A50"/>
    <w:rsid w:val="00F0740A"/>
    <w:rsid w:val="00F20498"/>
    <w:rsid w:val="00F23722"/>
    <w:rsid w:val="00F27BF2"/>
    <w:rsid w:val="00F3207C"/>
    <w:rsid w:val="00F3476A"/>
    <w:rsid w:val="00F50D29"/>
    <w:rsid w:val="00F544A3"/>
    <w:rsid w:val="00F562E1"/>
    <w:rsid w:val="00F655B6"/>
    <w:rsid w:val="00F656C0"/>
    <w:rsid w:val="00F72C1B"/>
    <w:rsid w:val="00F751D7"/>
    <w:rsid w:val="00F75F24"/>
    <w:rsid w:val="00F914B6"/>
    <w:rsid w:val="00F92441"/>
    <w:rsid w:val="00F97577"/>
    <w:rsid w:val="00FA5227"/>
    <w:rsid w:val="00FA56B1"/>
    <w:rsid w:val="00FA673D"/>
    <w:rsid w:val="00FB1903"/>
    <w:rsid w:val="00FB5F21"/>
    <w:rsid w:val="00FC00D7"/>
    <w:rsid w:val="00FC43AF"/>
    <w:rsid w:val="00FC6C54"/>
    <w:rsid w:val="00FD1497"/>
    <w:rsid w:val="00FD1E3C"/>
    <w:rsid w:val="00FE3D96"/>
    <w:rsid w:val="00FE7161"/>
    <w:rsid w:val="00FF218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4F2E2"/>
  <w15:chartTrackingRefBased/>
  <w15:docId w15:val="{FEDDD138-7442-4551-92AE-221611B83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914B6"/>
    <w:pPr>
      <w:spacing w:line="25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9170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696A4E"/>
    <w:pPr>
      <w:ind w:left="720"/>
      <w:contextualSpacing/>
    </w:pPr>
  </w:style>
  <w:style w:type="character" w:styleId="Testosegnaposto">
    <w:name w:val="Placeholder Text"/>
    <w:basedOn w:val="Carpredefinitoparagrafo"/>
    <w:uiPriority w:val="99"/>
    <w:semiHidden/>
    <w:rsid w:val="00531204"/>
    <w:rPr>
      <w:color w:val="808080"/>
    </w:rPr>
  </w:style>
  <w:style w:type="paragraph" w:styleId="NormaleWeb">
    <w:name w:val="Normal (Web)"/>
    <w:basedOn w:val="Normale"/>
    <w:uiPriority w:val="99"/>
    <w:semiHidden/>
    <w:unhideWhenUsed/>
    <w:rsid w:val="007D0D20"/>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uiPriority w:val="99"/>
    <w:semiHidden/>
    <w:unhideWhenUsed/>
    <w:rsid w:val="000A4A7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0A4A79"/>
    <w:rPr>
      <w:sz w:val="20"/>
      <w:szCs w:val="20"/>
    </w:rPr>
  </w:style>
  <w:style w:type="character" w:styleId="Rimandonotaapidipagina">
    <w:name w:val="footnote reference"/>
    <w:basedOn w:val="Carpredefinitoparagrafo"/>
    <w:uiPriority w:val="99"/>
    <w:semiHidden/>
    <w:unhideWhenUsed/>
    <w:rsid w:val="000A4A79"/>
    <w:rPr>
      <w:vertAlign w:val="superscript"/>
    </w:rPr>
  </w:style>
  <w:style w:type="paragraph" w:styleId="Revisione">
    <w:name w:val="Revision"/>
    <w:hidden/>
    <w:uiPriority w:val="99"/>
    <w:semiHidden/>
    <w:rsid w:val="005D29B9"/>
    <w:pPr>
      <w:spacing w:after="0" w:line="240" w:lineRule="auto"/>
    </w:pPr>
  </w:style>
  <w:style w:type="paragraph" w:styleId="Intestazione">
    <w:name w:val="header"/>
    <w:basedOn w:val="Normale"/>
    <w:link w:val="IntestazioneCarattere"/>
    <w:uiPriority w:val="99"/>
    <w:unhideWhenUsed/>
    <w:rsid w:val="0016496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64967"/>
  </w:style>
  <w:style w:type="paragraph" w:styleId="Pidipagina">
    <w:name w:val="footer"/>
    <w:basedOn w:val="Normale"/>
    <w:link w:val="PidipaginaCarattere"/>
    <w:uiPriority w:val="99"/>
    <w:unhideWhenUsed/>
    <w:rsid w:val="0016496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649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81279">
      <w:bodyDiv w:val="1"/>
      <w:marLeft w:val="0"/>
      <w:marRight w:val="0"/>
      <w:marTop w:val="0"/>
      <w:marBottom w:val="0"/>
      <w:divBdr>
        <w:top w:val="none" w:sz="0" w:space="0" w:color="auto"/>
        <w:left w:val="none" w:sz="0" w:space="0" w:color="auto"/>
        <w:bottom w:val="none" w:sz="0" w:space="0" w:color="auto"/>
        <w:right w:val="none" w:sz="0" w:space="0" w:color="auto"/>
      </w:divBdr>
    </w:div>
    <w:div w:id="105345215">
      <w:bodyDiv w:val="1"/>
      <w:marLeft w:val="0"/>
      <w:marRight w:val="0"/>
      <w:marTop w:val="0"/>
      <w:marBottom w:val="0"/>
      <w:divBdr>
        <w:top w:val="none" w:sz="0" w:space="0" w:color="auto"/>
        <w:left w:val="none" w:sz="0" w:space="0" w:color="auto"/>
        <w:bottom w:val="none" w:sz="0" w:space="0" w:color="auto"/>
        <w:right w:val="none" w:sz="0" w:space="0" w:color="auto"/>
      </w:divBdr>
    </w:div>
    <w:div w:id="244342232">
      <w:bodyDiv w:val="1"/>
      <w:marLeft w:val="0"/>
      <w:marRight w:val="0"/>
      <w:marTop w:val="0"/>
      <w:marBottom w:val="0"/>
      <w:divBdr>
        <w:top w:val="none" w:sz="0" w:space="0" w:color="auto"/>
        <w:left w:val="none" w:sz="0" w:space="0" w:color="auto"/>
        <w:bottom w:val="none" w:sz="0" w:space="0" w:color="auto"/>
        <w:right w:val="none" w:sz="0" w:space="0" w:color="auto"/>
      </w:divBdr>
    </w:div>
    <w:div w:id="262959696">
      <w:bodyDiv w:val="1"/>
      <w:marLeft w:val="0"/>
      <w:marRight w:val="0"/>
      <w:marTop w:val="0"/>
      <w:marBottom w:val="0"/>
      <w:divBdr>
        <w:top w:val="none" w:sz="0" w:space="0" w:color="auto"/>
        <w:left w:val="none" w:sz="0" w:space="0" w:color="auto"/>
        <w:bottom w:val="none" w:sz="0" w:space="0" w:color="auto"/>
        <w:right w:val="none" w:sz="0" w:space="0" w:color="auto"/>
      </w:divBdr>
      <w:divsChild>
        <w:div w:id="8129090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10069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89476832">
      <w:bodyDiv w:val="1"/>
      <w:marLeft w:val="0"/>
      <w:marRight w:val="0"/>
      <w:marTop w:val="0"/>
      <w:marBottom w:val="0"/>
      <w:divBdr>
        <w:top w:val="none" w:sz="0" w:space="0" w:color="auto"/>
        <w:left w:val="none" w:sz="0" w:space="0" w:color="auto"/>
        <w:bottom w:val="none" w:sz="0" w:space="0" w:color="auto"/>
        <w:right w:val="none" w:sz="0" w:space="0" w:color="auto"/>
      </w:divBdr>
    </w:div>
    <w:div w:id="348795632">
      <w:bodyDiv w:val="1"/>
      <w:marLeft w:val="0"/>
      <w:marRight w:val="0"/>
      <w:marTop w:val="0"/>
      <w:marBottom w:val="0"/>
      <w:divBdr>
        <w:top w:val="none" w:sz="0" w:space="0" w:color="auto"/>
        <w:left w:val="none" w:sz="0" w:space="0" w:color="auto"/>
        <w:bottom w:val="none" w:sz="0" w:space="0" w:color="auto"/>
        <w:right w:val="none" w:sz="0" w:space="0" w:color="auto"/>
      </w:divBdr>
    </w:div>
    <w:div w:id="546987260">
      <w:bodyDiv w:val="1"/>
      <w:marLeft w:val="0"/>
      <w:marRight w:val="0"/>
      <w:marTop w:val="0"/>
      <w:marBottom w:val="0"/>
      <w:divBdr>
        <w:top w:val="none" w:sz="0" w:space="0" w:color="auto"/>
        <w:left w:val="none" w:sz="0" w:space="0" w:color="auto"/>
        <w:bottom w:val="none" w:sz="0" w:space="0" w:color="auto"/>
        <w:right w:val="none" w:sz="0" w:space="0" w:color="auto"/>
      </w:divBdr>
    </w:div>
    <w:div w:id="557203845">
      <w:bodyDiv w:val="1"/>
      <w:marLeft w:val="0"/>
      <w:marRight w:val="0"/>
      <w:marTop w:val="0"/>
      <w:marBottom w:val="0"/>
      <w:divBdr>
        <w:top w:val="none" w:sz="0" w:space="0" w:color="auto"/>
        <w:left w:val="none" w:sz="0" w:space="0" w:color="auto"/>
        <w:bottom w:val="none" w:sz="0" w:space="0" w:color="auto"/>
        <w:right w:val="none" w:sz="0" w:space="0" w:color="auto"/>
      </w:divBdr>
    </w:div>
    <w:div w:id="946498268">
      <w:bodyDiv w:val="1"/>
      <w:marLeft w:val="0"/>
      <w:marRight w:val="0"/>
      <w:marTop w:val="0"/>
      <w:marBottom w:val="0"/>
      <w:divBdr>
        <w:top w:val="none" w:sz="0" w:space="0" w:color="auto"/>
        <w:left w:val="none" w:sz="0" w:space="0" w:color="auto"/>
        <w:bottom w:val="none" w:sz="0" w:space="0" w:color="auto"/>
        <w:right w:val="none" w:sz="0" w:space="0" w:color="auto"/>
      </w:divBdr>
    </w:div>
    <w:div w:id="1048191360">
      <w:bodyDiv w:val="1"/>
      <w:marLeft w:val="0"/>
      <w:marRight w:val="0"/>
      <w:marTop w:val="0"/>
      <w:marBottom w:val="0"/>
      <w:divBdr>
        <w:top w:val="none" w:sz="0" w:space="0" w:color="auto"/>
        <w:left w:val="none" w:sz="0" w:space="0" w:color="auto"/>
        <w:bottom w:val="none" w:sz="0" w:space="0" w:color="auto"/>
        <w:right w:val="none" w:sz="0" w:space="0" w:color="auto"/>
      </w:divBdr>
    </w:div>
    <w:div w:id="1438059379">
      <w:bodyDiv w:val="1"/>
      <w:marLeft w:val="0"/>
      <w:marRight w:val="0"/>
      <w:marTop w:val="0"/>
      <w:marBottom w:val="0"/>
      <w:divBdr>
        <w:top w:val="none" w:sz="0" w:space="0" w:color="auto"/>
        <w:left w:val="none" w:sz="0" w:space="0" w:color="auto"/>
        <w:bottom w:val="none" w:sz="0" w:space="0" w:color="auto"/>
        <w:right w:val="none" w:sz="0" w:space="0" w:color="auto"/>
      </w:divBdr>
    </w:div>
    <w:div w:id="1453406369">
      <w:bodyDiv w:val="1"/>
      <w:marLeft w:val="0"/>
      <w:marRight w:val="0"/>
      <w:marTop w:val="0"/>
      <w:marBottom w:val="0"/>
      <w:divBdr>
        <w:top w:val="none" w:sz="0" w:space="0" w:color="auto"/>
        <w:left w:val="none" w:sz="0" w:space="0" w:color="auto"/>
        <w:bottom w:val="none" w:sz="0" w:space="0" w:color="auto"/>
        <w:right w:val="none" w:sz="0" w:space="0" w:color="auto"/>
      </w:divBdr>
    </w:div>
    <w:div w:id="1710762298">
      <w:bodyDiv w:val="1"/>
      <w:marLeft w:val="0"/>
      <w:marRight w:val="0"/>
      <w:marTop w:val="0"/>
      <w:marBottom w:val="0"/>
      <w:divBdr>
        <w:top w:val="none" w:sz="0" w:space="0" w:color="auto"/>
        <w:left w:val="none" w:sz="0" w:space="0" w:color="auto"/>
        <w:bottom w:val="none" w:sz="0" w:space="0" w:color="auto"/>
        <w:right w:val="none" w:sz="0" w:space="0" w:color="auto"/>
      </w:divBdr>
    </w:div>
    <w:div w:id="1771117672">
      <w:bodyDiv w:val="1"/>
      <w:marLeft w:val="0"/>
      <w:marRight w:val="0"/>
      <w:marTop w:val="0"/>
      <w:marBottom w:val="0"/>
      <w:divBdr>
        <w:top w:val="none" w:sz="0" w:space="0" w:color="auto"/>
        <w:left w:val="none" w:sz="0" w:space="0" w:color="auto"/>
        <w:bottom w:val="none" w:sz="0" w:space="0" w:color="auto"/>
        <w:right w:val="none" w:sz="0" w:space="0" w:color="auto"/>
      </w:divBdr>
    </w:div>
    <w:div w:id="192160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49F6D4-9F8E-48EC-BBF9-40EDCB87127A}">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85</TotalTime>
  <Pages>7</Pages>
  <Words>2275</Words>
  <Characters>12970</Characters>
  <Application>Microsoft Office Word</Application>
  <DocSecurity>0</DocSecurity>
  <Lines>108</Lines>
  <Paragraphs>30</Paragraphs>
  <ScaleCrop>false</ScaleCrop>
  <HeadingPairs>
    <vt:vector size="2" baseType="variant">
      <vt:variant>
        <vt:lpstr>Titolo</vt:lpstr>
      </vt:variant>
      <vt:variant>
        <vt:i4>1</vt:i4>
      </vt:variant>
    </vt:vector>
  </HeadingPairs>
  <TitlesOfParts>
    <vt:vector size="1" baseType="lpstr">
      <vt:lpstr/>
    </vt:vector>
  </TitlesOfParts>
  <Company>KPMG</Company>
  <LinksUpToDate>false</LinksUpToDate>
  <CharactersWithSpaces>15215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Luciani, Marco</dc:creator>
  <cp:keywords/>
  <dc:description/>
  <cp:lastModifiedBy>autore</cp:lastModifiedBy>
  <cp:revision>23</cp:revision>
  <dcterms:created xsi:type="dcterms:W3CDTF">2023-10-02T10:49:00Z</dcterms:created>
  <dcterms:modified xsi:type="dcterms:W3CDTF">2024-01-03T12:17:00Z</dcterms:modified>
</cp:coreProperties>
</file>